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b/>
          <w:sz w:val="24"/>
          <w:szCs w:val="24"/>
          <w:lang w:eastAsia="bg-BG"/>
        </w:rPr>
        <w:t>ФИНАНСОВО-ИКОНОМИЧЕСКИ АНАЛИЗ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sz w:val="24"/>
          <w:szCs w:val="24"/>
          <w:lang w:eastAsia="bg-BG"/>
        </w:rPr>
      </w:pP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A71CA" w:rsidRPr="005A71CA" w:rsidRDefault="005A71CA" w:rsidP="00104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</w:rPr>
      </w:pPr>
      <w:bookmarkStart w:id="0" w:name="_Hlk534959073"/>
      <w:r w:rsidRPr="005A71CA">
        <w:rPr>
          <w:rFonts w:ascii="Courier New" w:eastAsia="Times New Roman" w:hAnsi="Courier New" w:cs="Courier New"/>
          <w:b/>
          <w:sz w:val="24"/>
          <w:szCs w:val="24"/>
          <w:lang w:eastAsia="bg-BG"/>
        </w:rPr>
        <w:t>ОБЕКТ НА КОНЦЕСИЯТА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: Язовир </w:t>
      </w:r>
      <w:r w:rsidR="00E13D73">
        <w:rPr>
          <w:rFonts w:ascii="Courier New" w:eastAsia="Times New Roman" w:hAnsi="Courier New" w:cs="Courier New"/>
          <w:sz w:val="24"/>
          <w:szCs w:val="24"/>
          <w:lang w:eastAsia="bg-BG"/>
        </w:rPr>
        <w:t>в землището на с. Янтра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,</w:t>
      </w:r>
      <w:r w:rsidR="00DB2E15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публична общинска собственост.</w:t>
      </w:r>
      <w:bookmarkEnd w:id="0"/>
    </w:p>
    <w:p w:rsidR="005A71CA" w:rsidRPr="005A71CA" w:rsidRDefault="005A71CA" w:rsidP="001045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bg-BG"/>
        </w:rPr>
      </w:pPr>
    </w:p>
    <w:p w:rsidR="005A71CA" w:rsidRPr="001045BE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bookmarkStart w:id="1" w:name="_Hlk534959116"/>
      <w:r w:rsidRPr="001045BE"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  <w:t>ПРЕДНАЗНАЧЕНИЕ НА ОБЕКТА:</w:t>
      </w:r>
      <w:r w:rsidRPr="00104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Естествена среда за </w:t>
      </w:r>
      <w:proofErr w:type="spellStart"/>
      <w:r w:rsidRPr="001045BE">
        <w:rPr>
          <w:rFonts w:ascii="Courier New" w:eastAsia="Times New Roman" w:hAnsi="Courier New" w:cs="Courier New"/>
          <w:sz w:val="24"/>
          <w:szCs w:val="24"/>
          <w:lang w:eastAsia="bg-BG"/>
        </w:rPr>
        <w:t>полуинтензивно</w:t>
      </w:r>
      <w:proofErr w:type="spellEnd"/>
      <w:r w:rsidRPr="00104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</w:t>
      </w:r>
      <w:r w:rsidR="001045BE" w:rsidRPr="00104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и интензивно </w:t>
      </w:r>
      <w:r w:rsidRPr="001045BE">
        <w:rPr>
          <w:rFonts w:ascii="Courier New" w:eastAsia="Times New Roman" w:hAnsi="Courier New" w:cs="Courier New"/>
          <w:sz w:val="24"/>
          <w:szCs w:val="24"/>
          <w:lang w:eastAsia="bg-BG"/>
        </w:rPr>
        <w:t>отглеждане на сладководна риба.</w:t>
      </w:r>
      <w:bookmarkEnd w:id="1"/>
    </w:p>
    <w:p w:rsidR="005A71CA" w:rsidRPr="001045BE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</w:pPr>
    </w:p>
    <w:p w:rsidR="005A71CA" w:rsidRPr="001045BE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045BE"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  <w:t>СТОПАНСКА ДЕЙНОСТ:</w:t>
      </w:r>
      <w:r w:rsidRPr="001045B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proofErr w:type="spellStart"/>
      <w:r w:rsidRPr="001045BE">
        <w:rPr>
          <w:rFonts w:ascii="Courier New" w:eastAsia="Times New Roman" w:hAnsi="Courier New" w:cs="Courier New"/>
          <w:sz w:val="24"/>
          <w:szCs w:val="24"/>
          <w:lang w:eastAsia="bg-BG"/>
        </w:rPr>
        <w:t>риборазвъждане</w:t>
      </w:r>
      <w:proofErr w:type="spellEnd"/>
      <w:r w:rsidRPr="001045BE">
        <w:rPr>
          <w:rFonts w:ascii="Courier New" w:eastAsia="Times New Roman" w:hAnsi="Courier New" w:cs="Courier New"/>
          <w:sz w:val="24"/>
          <w:szCs w:val="24"/>
          <w:lang w:eastAsia="bg-BG"/>
        </w:rPr>
        <w:t>, отглеждане на риби и други видове организми, предлагане на пазара качествена риба и получената по съответните технологии продукция, промишлен и спортен риболов, превръщане на обекта в привлекателно място за осигуряване отдих, почивка и развлечение на населението. Развиване на културно и спортно обслужване на населението - плажни, спортни и водни услуги и превръщане на обекта на концесия в привлекателно място за осигуряване отдих, почивка и развлечение на населението, разкриване на заведения за хранене и развлечения - постоянни или временни /кафе-бар и/или други по смисъла на Закона за туризма, които не засягат целостта и характера на публичната собственост</w:t>
      </w:r>
    </w:p>
    <w:p w:rsidR="005A71CA" w:rsidRPr="001045BE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045BE">
        <w:rPr>
          <w:rFonts w:ascii="Courier New" w:eastAsia="Times New Roman" w:hAnsi="Courier New" w:cs="Courier New"/>
          <w:sz w:val="24"/>
          <w:szCs w:val="24"/>
          <w:lang w:eastAsia="bg-BG"/>
        </w:rPr>
        <w:t>Услугите и стопанските дейности на концесионера следва да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се осъществява при условията на действащото българско законодателство, включително действащите специални нормативни актове – Закон за водите и всички останали нормативни документи регулиращи съответния вид дейност по експлоатацията и във връзка с експлоатацията на обекта и изискванията за опазване на околната среда, националната сигурност, отбраната на страната и обществения ред.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bCs/>
          <w:sz w:val="24"/>
          <w:szCs w:val="24"/>
          <w:lang w:eastAsia="bg-BG"/>
        </w:rPr>
        <w:t>НАПРАВЛЕНИЕ НА ПАЗАРНАТА РЕАЛИЗАЦИЯ НА ПРОДУКЦИЯТА:</w:t>
      </w:r>
      <w:r w:rsidRPr="005A71CA"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  <w:t xml:space="preserve">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100 % за вътрешния пазар.</w:t>
      </w:r>
    </w:p>
    <w:p w:rsidR="005A71CA" w:rsidRPr="005A71CA" w:rsidRDefault="005A71CA" w:rsidP="005A71CA">
      <w:pPr>
        <w:keepNext/>
        <w:widowControl w:val="0"/>
        <w:spacing w:after="0" w:line="240" w:lineRule="auto"/>
        <w:outlineLvl w:val="4"/>
        <w:rPr>
          <w:rFonts w:ascii="Courier New" w:eastAsia="Times New Roman" w:hAnsi="Courier New" w:cs="Courier New"/>
          <w:b/>
          <w:sz w:val="24"/>
          <w:szCs w:val="24"/>
        </w:rPr>
      </w:pPr>
    </w:p>
    <w:p w:rsidR="005A71CA" w:rsidRPr="005A71CA" w:rsidRDefault="005A71CA" w:rsidP="005A71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b/>
          <w:sz w:val="24"/>
          <w:szCs w:val="24"/>
          <w:lang w:eastAsia="bg-BG"/>
        </w:rPr>
        <w:t>ЗАДАЧА НА ИЗПЪЛНИТЕЛЯ</w:t>
      </w:r>
      <w:r w:rsidRPr="005A71CA">
        <w:rPr>
          <w:rFonts w:ascii="Courier New" w:eastAsia="Times New Roman" w:hAnsi="Courier New" w:cs="Courier New"/>
          <w:b/>
          <w:sz w:val="24"/>
          <w:szCs w:val="24"/>
          <w:lang w:val="ru-RU" w:eastAsia="bg-BG"/>
        </w:rPr>
        <w:t>: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Изготвяне на финансово-икономически анализ </w:t>
      </w:r>
      <w:bookmarkStart w:id="2" w:name="_Hlk534959169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за отдаване на концесия на обект</w:t>
      </w:r>
      <w:r w:rsidRPr="005A71CA">
        <w:rPr>
          <w:rFonts w:ascii="Courier New" w:eastAsia="Times New Roman" w:hAnsi="Courier New" w:cs="Courier New"/>
          <w:b/>
          <w:sz w:val="24"/>
          <w:szCs w:val="24"/>
          <w:lang w:eastAsia="bg-BG"/>
        </w:rPr>
        <w:t xml:space="preserve">: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r w:rsidR="00DB2E15">
        <w:rPr>
          <w:rFonts w:ascii="Courier New" w:eastAsia="Times New Roman" w:hAnsi="Courier New" w:cs="Courier New"/>
          <w:sz w:val="24"/>
          <w:szCs w:val="24"/>
          <w:lang w:eastAsia="bg-BG"/>
        </w:rPr>
        <w:t>Я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зовир </w:t>
      </w:r>
      <w:r w:rsidR="001045BE">
        <w:rPr>
          <w:rFonts w:ascii="Courier New" w:eastAsia="Times New Roman" w:hAnsi="Courier New" w:cs="Courier New"/>
          <w:sz w:val="24"/>
          <w:szCs w:val="24"/>
          <w:lang w:eastAsia="bg-BG"/>
        </w:rPr>
        <w:t>в землището на с. Янтра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включващ: </w:t>
      </w:r>
      <w:r w:rsidR="001045BE" w:rsidRPr="001045BE">
        <w:rPr>
          <w:rFonts w:ascii="Courier New" w:eastAsia="Times New Roman" w:hAnsi="Courier New" w:cs="Courier New"/>
          <w:sz w:val="24"/>
          <w:szCs w:val="24"/>
          <w:lang w:eastAsia="bg-BG"/>
        </w:rPr>
        <w:t>Поземлени имоти с идентификатори 87463.67.53, с площ 92 960 кв. м., 87463.67.62, с площ 2 931 кв. м., 87463.67.63, с площ 2 846 кв. м., и 87463.65.111, с площ 7112 кв. м., по кадастралната карта и кадастралните регистри на с. Янтра, община Дряново</w:t>
      </w:r>
      <w:bookmarkEnd w:id="2"/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4"/>
          <w:szCs w:val="24"/>
          <w:lang w:val="ru-RU" w:eastAsia="bg-BG"/>
        </w:rPr>
      </w:pPr>
    </w:p>
    <w:p w:rsidR="005A71CA" w:rsidRPr="005A71CA" w:rsidRDefault="005A71CA" w:rsidP="005A71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  <w:t>ЦЕЛ НА АНАЛИЗА: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Определяне на концесионното плащане, чрез справедливо разпределение на икономическата изгода между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концедента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и концесионера при отдаването на обекта на концесия.</w:t>
      </w:r>
    </w:p>
    <w:p w:rsidR="005A71CA" w:rsidRPr="005A71CA" w:rsidRDefault="005A71CA" w:rsidP="005A71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  <w:tab/>
      </w:r>
      <w:bookmarkStart w:id="3" w:name="_Hlk534959200"/>
      <w:r w:rsidRPr="005A71CA"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  <w:t xml:space="preserve">ВИД НА КОНЦЕСИЯТА: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За услуга, която предвижда управление и поддържане на обекта предоставен на концесия, като плащането се състои в правото на концесионера да експлоатира обекта за срока на концесията.</w:t>
      </w:r>
      <w:bookmarkEnd w:id="3"/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</w:pP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  <w:t xml:space="preserve">СРОК НА КОНЦЕСИЯТА: 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25 ГОДИНИ</w:t>
      </w:r>
    </w:p>
    <w:p w:rsidR="005A71CA" w:rsidRPr="005A71CA" w:rsidRDefault="005A71CA" w:rsidP="00184659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lastRenderedPageBreak/>
        <w:t>1.Анализ на пазара, включващ анализ на основни конкуренти, анализ на цените и търсенето на определените видове услуги и др.</w:t>
      </w:r>
    </w:p>
    <w:p w:rsidR="005A71CA" w:rsidRPr="005A71CA" w:rsidRDefault="005A71CA" w:rsidP="00184659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Секторът по рибовъдство и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аквакултури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има специфични позиции и роля в  националната икономика на България. Секторът по рибовъдство и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аквакултури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в България, включително консервирането на риба има относително малък дялна национално ниво, въпреки че осигурява висока работна заетост на регионално равнище, особено в крайбрежните райони, където представлява значителен дял от местната икономика. Общата площ на сладководните водоеми в България е около 65000 хектара.</w:t>
      </w:r>
    </w:p>
    <w:p w:rsidR="005A71CA" w:rsidRPr="005A71CA" w:rsidRDefault="005A71CA" w:rsidP="00184659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Габровска област има добри в количествено и качествено отношение водоизточници - </w:t>
      </w:r>
      <w:r w:rsidRPr="005A71CA">
        <w:rPr>
          <w:rFonts w:ascii="Courier New" w:eastAsia="Times New Roman" w:hAnsi="Courier New" w:cs="Courier New"/>
          <w:bCs/>
          <w:sz w:val="24"/>
          <w:szCs w:val="24"/>
          <w:lang w:eastAsia="bg-BG"/>
        </w:rPr>
        <w:t>реките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 Янтра, Росица, Видима, Дряновска и Тревненска река. На територията на Габровска област са построени много язовири, като най-големите са  язовирите: "Христо Смирненски" , "Бяла" (Севлиево), "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Нейковци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" (Трявна) и много-други, което е добра предпоставка за развитието на търговски и любителски риболов, включително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въдичартво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, рибарски туризъм и екотуризъм.</w:t>
      </w:r>
    </w:p>
    <w:p w:rsidR="005A71CA" w:rsidRPr="005A71CA" w:rsidRDefault="005A71CA" w:rsidP="00184659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Производството на рибни продукти в сладки води има добри икономически показатели.</w:t>
      </w:r>
      <w:r w:rsidR="00184659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Основните видове сладководни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аквакултури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, които се развъждат в България са шаран и  пъстърва. През последните години тези риби се отглеждат във ферми с мрежести клетки. Възможностите на тези производствени съоръжения за отглеждане на стопански значими видове са големи. </w:t>
      </w:r>
    </w:p>
    <w:p w:rsidR="005A71CA" w:rsidRPr="005A71CA" w:rsidRDefault="005A71CA" w:rsidP="00184659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Основните конкуренти на пазара са всички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поизводители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на риба на територията на област Габрово  и на производители от други области, които имат изградени по-големи ферми за отглеждане на риба. Цените на рибата също се влияе от настъпилата финансово-икономическа криза от 2009 до 2013 г. и значително намаляха в сравнение с периода 2007 - 2008 г. когато страната беше в икономически подем.</w:t>
      </w:r>
    </w:p>
    <w:p w:rsidR="005A71CA" w:rsidRPr="005A71CA" w:rsidRDefault="005A71CA" w:rsidP="00184659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t>2. Анализ на разходите и на приходите по години, в т.ч.:</w:t>
      </w:r>
    </w:p>
    <w:p w:rsidR="005A71CA" w:rsidRPr="005A71CA" w:rsidRDefault="005A71CA" w:rsidP="00184659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t>а) обоснована прогноза за разходите - за инвестиции, за управление и поддържане на обекта на концесията и за управление на услугата, съответно експлоатацията на природното богатство, за финансиране и др., свързани с ползването на обекта на концесията или с извършването на други стопански дейности с обекта на концесията;</w:t>
      </w:r>
    </w:p>
    <w:p w:rsidR="005A71CA" w:rsidRPr="005A71CA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ru-RU" w:eastAsia="bg-BG"/>
        </w:rPr>
      </w:pPr>
    </w:p>
    <w:p w:rsidR="005A71CA" w:rsidRPr="005A71CA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bg-BG"/>
        </w:rPr>
      </w:pPr>
      <w:r w:rsidRPr="005A71C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ru-RU" w:eastAsia="bg-BG"/>
        </w:rPr>
        <w:t>ПРОГНОЗА ЗА БЪДЕЩА ДОХОДОНОСТНОСТ</w:t>
      </w:r>
    </w:p>
    <w:p w:rsidR="005A71CA" w:rsidRPr="005A71CA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bg-BG"/>
        </w:rPr>
      </w:pPr>
    </w:p>
    <w:p w:rsidR="005A71CA" w:rsidRPr="00184659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bookmarkStart w:id="4" w:name="_Hlk534920844"/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На базата на проучвания на цените на вътрешния пазар и очакваните дългосрочни прогнози за тяхното изменение през следващите пет години, при отчитане степента на изграденост на </w:t>
      </w: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lastRenderedPageBreak/>
        <w:t xml:space="preserve">съоръжения и инфраструктура, капацитетна възможност, степен на </w:t>
      </w:r>
      <w:proofErr w:type="spellStart"/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използуване</w:t>
      </w:r>
      <w:proofErr w:type="spellEnd"/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, необходимостта от допълнителни инвестиции за поддържане на обекта, както и влиянието на макроикономическата среда в страната е изготвена бизнес-програма за обекта за период от пет години.</w:t>
      </w:r>
    </w:p>
    <w:p w:rsidR="005A71CA" w:rsidRPr="00184659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ab/>
        <w:t>Бизнес-програмата включва:</w:t>
      </w:r>
    </w:p>
    <w:p w:rsidR="005A71CA" w:rsidRPr="00184659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1.Производствена дейност</w:t>
      </w:r>
    </w:p>
    <w:p w:rsidR="005A71CA" w:rsidRPr="00184659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2.Инвестиционна политика</w:t>
      </w:r>
    </w:p>
    <w:p w:rsidR="005A71CA" w:rsidRPr="00184659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3.Прогноза за приходите и разходите за 5 год.период.</w:t>
      </w:r>
    </w:p>
    <w:p w:rsidR="005A71CA" w:rsidRPr="00184659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4.Анализ за ефективността на проекта</w:t>
      </w:r>
    </w:p>
    <w:p w:rsidR="005A71CA" w:rsidRPr="00184659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A71CA" w:rsidRPr="005A71CA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ru-RU" w:eastAsia="bg-BG"/>
        </w:rPr>
      </w:pPr>
    </w:p>
    <w:p w:rsidR="005A71CA" w:rsidRPr="005A71CA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bg-BG"/>
        </w:rPr>
      </w:pPr>
      <w:r w:rsidRPr="005A71C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ru-RU" w:eastAsia="bg-BG"/>
        </w:rPr>
        <w:t>ПРОИЗВОДСТВЕНА ДЕЙНОСТ:</w:t>
      </w:r>
    </w:p>
    <w:p w:rsidR="005A71CA" w:rsidRPr="005A71CA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bg-BG"/>
        </w:rPr>
      </w:pPr>
    </w:p>
    <w:p w:rsidR="005A71CA" w:rsidRPr="00184659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Производствената дейност на обекта се изразява в експлоатация на язовира.</w:t>
      </w:r>
    </w:p>
    <w:p w:rsidR="005A71CA" w:rsidRPr="00184659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Главната задача на концесионера е производство и предлагане на качествена риба на пазара и привличане на клиенти, с цел максимално използване капацитетните възможности на водоема през периода на концесията.</w:t>
      </w:r>
    </w:p>
    <w:p w:rsidR="005A71CA" w:rsidRPr="005A71CA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Прогнозирането е съобразено с моментното състояние, залятата площ, полезния обем, дълбочината на водоема, наличието и вида растителност по бреговата зона, възможностите за източване и предпоставките за развитие на малоценни риби 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(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каракуда, червеноперка,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уклей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и др.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)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. Тези особености са отчетени при извеждане на осреднените основни рибовъдни показатели за капацитет, а също и за извеждане на прогнозните разходи и себестойност. Заложени са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средни добиви при отглеждане на риба, основно шаран. </w:t>
      </w:r>
    </w:p>
    <w:p w:rsidR="005A71CA" w:rsidRPr="005A71CA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Основни предпоставки и предположения. Икономическа среда.</w:t>
      </w:r>
    </w:p>
    <w:p w:rsidR="005A71CA" w:rsidRPr="005A71CA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Като времеви планов хоризонт на прогнозните очаквания е приет 5 годишен период. Основание за това приемане е необходимостта през този период да бъдат подготвени и изпълнени мероприятията за задължителната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(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минималната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)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инвестиционна програма. Тези мероприятия са разработени на база на окрупнени показатели на база  оценката на моментното състояние. </w:t>
      </w:r>
    </w:p>
    <w:p w:rsidR="005A71CA" w:rsidRPr="005A71CA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От анализа на макроикономическите показатели през последните две години, се приемат следните предпоставки и условия за развитие на бизнеса:</w:t>
      </w:r>
    </w:p>
    <w:p w:rsidR="005A71CA" w:rsidRPr="005A71CA" w:rsidRDefault="005A71CA" w:rsidP="0018465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Основните финансови резултати, а от там и таксите, са прогнозирани в лева.</w:t>
      </w:r>
    </w:p>
    <w:p w:rsidR="005A71CA" w:rsidRPr="005A71CA" w:rsidRDefault="005A71CA" w:rsidP="0018465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Разходите за инвестиции са остойностени по действащите в момента цени.</w:t>
      </w:r>
    </w:p>
    <w:p w:rsidR="005A71CA" w:rsidRPr="005A71CA" w:rsidRDefault="005A71CA" w:rsidP="0018465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Дейността по рибовъдство се развива и осъществява при следните основни предположения:</w:t>
      </w:r>
    </w:p>
    <w:p w:rsidR="005A71CA" w:rsidRPr="005A71CA" w:rsidRDefault="005A71CA" w:rsidP="001846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задължителна подготовка на басейна за зарибяване с риба за консумация включваща почистване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варуване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и наторяване;</w:t>
      </w:r>
    </w:p>
    <w:p w:rsidR="005A71CA" w:rsidRPr="005A71CA" w:rsidRDefault="005A71CA" w:rsidP="001846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планиране на необходимото количество храна на рибата за консумация е извършено само на очаквания прираст на шарана;</w:t>
      </w:r>
    </w:p>
    <w:p w:rsidR="005A71CA" w:rsidRPr="005A71CA" w:rsidRDefault="005A71CA" w:rsidP="001846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lastRenderedPageBreak/>
        <w:t xml:space="preserve">калкулирана е рецептура за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полуинтензивно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хранене;</w:t>
      </w:r>
    </w:p>
    <w:p w:rsidR="005A71CA" w:rsidRPr="005A71CA" w:rsidRDefault="005A71CA" w:rsidP="001846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разходите за труд са за временно наети рибовъди;</w:t>
      </w:r>
    </w:p>
    <w:p w:rsidR="005A71CA" w:rsidRPr="005A71CA" w:rsidRDefault="005A71CA" w:rsidP="001846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разходите за амортизация са определени по линеен метод, съгласно нормативната уредба – 4 % годишно. </w:t>
      </w:r>
    </w:p>
    <w:p w:rsidR="005A71CA" w:rsidRPr="005A71CA" w:rsidRDefault="005A71CA" w:rsidP="001846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разходите за диагностично-лечебни мероприятия са определени на декар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(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15 кг. хидратна вар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)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. Основната тежест е дадена на санитарното почистване и профилактичната дезинфекция.</w:t>
      </w:r>
    </w:p>
    <w:p w:rsidR="005A71CA" w:rsidRPr="005A71CA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Такава икономическа среда е описана в приетите предположения със съзнанието за известна непредсказуемост, но с възможност за интензифициране, която предполага, че ще се използва от потенциални инвеститори с опит и възможности.</w:t>
      </w:r>
    </w:p>
    <w:p w:rsidR="005A71CA" w:rsidRPr="005A71CA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Отглеждане на риби със стопанско значение –  шаран за консумация.</w:t>
      </w:r>
    </w:p>
    <w:p w:rsidR="005A71CA" w:rsidRPr="005A71CA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Риби, които живеят във водоема, невнесени от човека – каракуда и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уклей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в количества представляващи стопански риск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(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над 5%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)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без стопанска изгода.</w:t>
      </w:r>
    </w:p>
    <w:p w:rsidR="005A71CA" w:rsidRPr="005A71CA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Няма изявени животински видове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(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змии водоплаващи птици и др.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)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, чието сезонно развитие да застрашава силно стопанската дейност на рибовъдството.</w:t>
      </w:r>
    </w:p>
    <w:p w:rsidR="005A71CA" w:rsidRPr="005A71CA" w:rsidRDefault="005A71CA" w:rsidP="001846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Зарибяването на  язовира може да бъде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монокултурно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с шаран или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поликултурно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с поставяне на комплекс от видове всеядни,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растителноядни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и хищни риби. При настоящата разработка се приема за предпоставка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монокултурното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зарибяване. Основният вид, който се поставя е шаранът  - от 100 до 200 риби на декар.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Броят  на поставените риби за отглеждане и от характера на подхранване на рибите. Обикновено рибите в тези водоеми се подхранват усилено през времето на най-интензивния им растеж юни-септември. Тази практика отговаря на водоемите, в които през пролетта се развива повече естествена храна, отколкото в специалните рибовъдни басейни. По този начин се прави икономия от суровинно-енергийни ресурси – рибата се получава с по малък разход на произвеждан в стопанствата фураж. Многогодишната практика  показва, че 1 кг риба може да се получи от около </w:t>
      </w:r>
      <w:r w:rsidR="00184659">
        <w:rPr>
          <w:rFonts w:ascii="Courier New" w:eastAsia="Times New Roman" w:hAnsi="Courier New" w:cs="Courier New"/>
          <w:sz w:val="24"/>
          <w:szCs w:val="24"/>
          <w:lang w:eastAsia="bg-BG"/>
        </w:rPr>
        <w:t>2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,5 – </w:t>
      </w:r>
      <w:r w:rsidR="00184659">
        <w:rPr>
          <w:rFonts w:ascii="Courier New" w:eastAsia="Times New Roman" w:hAnsi="Courier New" w:cs="Courier New"/>
          <w:sz w:val="24"/>
          <w:szCs w:val="24"/>
          <w:lang w:eastAsia="bg-BG"/>
        </w:rPr>
        <w:t>2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,8 кг фураж при висока икономическа интензивност.</w:t>
      </w:r>
    </w:p>
    <w:bookmarkEnd w:id="4"/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ru-RU" w:eastAsia="bg-BG"/>
        </w:rPr>
      </w:pPr>
      <w:r w:rsidRPr="005A71C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ru-RU" w:eastAsia="bg-BG"/>
        </w:rPr>
        <w:t>ИНВЕСТИЦИОННА ПОЛИТИКА: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ru-RU" w:eastAsia="bg-BG"/>
        </w:rPr>
      </w:pPr>
    </w:p>
    <w:p w:rsidR="005A71CA" w:rsidRPr="005A71CA" w:rsidRDefault="00184659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val="ru-RU" w:eastAsia="bg-BG"/>
        </w:rPr>
        <w:t>О</w:t>
      </w:r>
      <w:r w:rsidR="005A71CA"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бект</w:t>
      </w:r>
      <w:r w:rsidR="005A71CA"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ът</w:t>
      </w:r>
      <w:proofErr w:type="spellEnd"/>
      <w:r w:rsidR="005A71CA"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proofErr w:type="spellStart"/>
      <w:r w:rsidR="005A71CA"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предоставен</w:t>
      </w:r>
      <w:proofErr w:type="spellEnd"/>
      <w:r w:rsidR="005A71CA"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r w:rsidR="005A71CA"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на </w:t>
      </w:r>
      <w:proofErr w:type="spellStart"/>
      <w:r w:rsidR="005A71CA"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концесия</w:t>
      </w:r>
      <w:proofErr w:type="spellEnd"/>
      <w:r w:rsidR="005A71CA"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="005A71CA"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включва</w:t>
      </w:r>
      <w:proofErr w:type="spellEnd"/>
      <w:r w:rsidR="005A71CA"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="005A71CA"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съществуващ</w:t>
      </w:r>
      <w:r w:rsidR="005A71CA"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ият</w:t>
      </w:r>
      <w:proofErr w:type="spellEnd"/>
      <w:r w:rsidR="005A71CA"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язовир, които се предвижда да бъдат поддържан в добро техническо състояние по време на </w:t>
      </w:r>
      <w:proofErr w:type="gramStart"/>
      <w:r w:rsidR="005A71CA"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концесията,  във</w:t>
      </w:r>
      <w:proofErr w:type="gramEnd"/>
      <w:r w:rsidR="005A71CA"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връзка с бъдещата му експлоатация. 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През периода на концесията всички инвестиционни дейности да се съгласуват с община Дряново и се извършват в съответствие с действащата нормативна уредба.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По време на експлоатацията се предвиждат текущи ремонтни дейности за поддържане съоръжението в добро техническо състояние. Средствата за първоначалното почистване на язовирната стена, поддържане и извършване на годишните ремонти, ремонти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lastRenderedPageBreak/>
        <w:t xml:space="preserve">вследствие на природни бедствия и други непредвидени обстоятелства са включени към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производственте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разходи.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ru-RU" w:eastAsia="bg-BG"/>
        </w:rPr>
      </w:pP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bg-BG"/>
        </w:rPr>
      </w:pPr>
      <w:r w:rsidRPr="005A71C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ru-RU" w:eastAsia="bg-BG"/>
        </w:rPr>
        <w:t>ПРИХОДИ  И РАЗХОДИ ОТ ДЕЙНОСТТА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bg-BG"/>
        </w:rPr>
      </w:pPr>
    </w:p>
    <w:p w:rsidR="005A71CA" w:rsidRPr="00184659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 Икономическата ситуация в страната се характеризира с отдавана на по- голямата част от язовирите и водоемите под наем или концесия за отглеждане на риба. </w:t>
      </w:r>
    </w:p>
    <w:p w:rsidR="005A71CA" w:rsidRPr="00184659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Инфлацията се отчита с </w:t>
      </w:r>
      <w:proofErr w:type="spellStart"/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използуването</w:t>
      </w:r>
      <w:proofErr w:type="spellEnd"/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на показателя норма на </w:t>
      </w:r>
      <w:proofErr w:type="spellStart"/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дисконтиране</w:t>
      </w:r>
      <w:proofErr w:type="spellEnd"/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, включващ инфлационна съставляваща и с последващо </w:t>
      </w:r>
      <w:proofErr w:type="spellStart"/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дисконтиране</w:t>
      </w:r>
      <w:proofErr w:type="spellEnd"/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на чистия годишен паричен поток.</w:t>
      </w:r>
    </w:p>
    <w:p w:rsidR="005A71CA" w:rsidRPr="00184659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Приходите от дейността са формирани на база капацитетните възможности на съоръжението, съобразено с техническите норми и правила  за отглеждане на риба. На тази база е разработен вариант за следващите 25 години.</w:t>
      </w:r>
    </w:p>
    <w:p w:rsidR="005A71CA" w:rsidRPr="00184659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bookmarkStart w:id="5" w:name="_Hlk534920932"/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Приходите се формират от:</w:t>
      </w:r>
    </w:p>
    <w:p w:rsidR="005A71CA" w:rsidRPr="00184659" w:rsidRDefault="005A71CA" w:rsidP="005A71CA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firstLine="720"/>
        <w:jc w:val="both"/>
        <w:rPr>
          <w:rFonts w:ascii="Courier New" w:eastAsia="Times New Roman" w:hAnsi="Courier New" w:cs="Courier New"/>
          <w:spacing w:val="-11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-</w:t>
      </w:r>
      <w:r w:rsidRPr="00184659">
        <w:rPr>
          <w:rFonts w:ascii="Courier New" w:eastAsia="Times New Roman" w:hAnsi="Courier New" w:cs="Courier New"/>
          <w:spacing w:val="-8"/>
          <w:sz w:val="24"/>
          <w:szCs w:val="24"/>
          <w:lang w:eastAsia="bg-BG"/>
        </w:rPr>
        <w:t xml:space="preserve">Брутният приход ще се реализира от отглеждане и продажбата на </w:t>
      </w:r>
      <w:r w:rsidRPr="00184659">
        <w:rPr>
          <w:rFonts w:ascii="Courier New" w:eastAsia="Times New Roman" w:hAnsi="Courier New" w:cs="Courier New"/>
          <w:spacing w:val="-7"/>
          <w:sz w:val="24"/>
          <w:szCs w:val="24"/>
          <w:lang w:eastAsia="bg-BG"/>
        </w:rPr>
        <w:t xml:space="preserve">риба – шаран. Предвижда се язовира да се зариби, съгласно нормативите за </w:t>
      </w:r>
      <w:r w:rsidRPr="00184659">
        <w:rPr>
          <w:rFonts w:ascii="Courier New" w:eastAsia="Times New Roman" w:hAnsi="Courier New" w:cs="Courier New"/>
          <w:spacing w:val="-8"/>
          <w:sz w:val="24"/>
          <w:szCs w:val="24"/>
          <w:lang w:eastAsia="bg-BG"/>
        </w:rPr>
        <w:t xml:space="preserve">отглеждане на риба – 100 до 200 риби/дка,, при среден добив  80 до 120 кг/дка </w:t>
      </w: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r w:rsidRPr="00184659">
        <w:rPr>
          <w:rFonts w:ascii="Courier New" w:eastAsia="Times New Roman" w:hAnsi="Courier New" w:cs="Courier New"/>
          <w:spacing w:val="-11"/>
          <w:sz w:val="24"/>
          <w:szCs w:val="24"/>
          <w:lang w:eastAsia="bg-BG"/>
        </w:rPr>
        <w:t xml:space="preserve">и  средна цена за реализация на рибата  </w:t>
      </w:r>
      <w:r w:rsidRPr="00184659">
        <w:rPr>
          <w:rFonts w:ascii="Courier New" w:eastAsia="Times New Roman" w:hAnsi="Courier New" w:cs="Courier New"/>
          <w:spacing w:val="32"/>
          <w:sz w:val="24"/>
          <w:szCs w:val="24"/>
          <w:lang w:eastAsia="bg-BG"/>
        </w:rPr>
        <w:t>4,0</w:t>
      </w:r>
      <w:r w:rsidRPr="00184659">
        <w:rPr>
          <w:rFonts w:ascii="Courier New" w:eastAsia="Times New Roman" w:hAnsi="Courier New" w:cs="Courier New"/>
          <w:spacing w:val="-11"/>
          <w:sz w:val="24"/>
          <w:szCs w:val="24"/>
          <w:lang w:eastAsia="bg-BG"/>
        </w:rPr>
        <w:t xml:space="preserve"> </w:t>
      </w:r>
      <w:proofErr w:type="spellStart"/>
      <w:r w:rsidRPr="00184659">
        <w:rPr>
          <w:rFonts w:ascii="Courier New" w:eastAsia="Times New Roman" w:hAnsi="Courier New" w:cs="Courier New"/>
          <w:spacing w:val="-11"/>
          <w:sz w:val="24"/>
          <w:szCs w:val="24"/>
          <w:lang w:eastAsia="bg-BG"/>
        </w:rPr>
        <w:t>лв</w:t>
      </w:r>
      <w:proofErr w:type="spellEnd"/>
      <w:r w:rsidRPr="00184659">
        <w:rPr>
          <w:rFonts w:ascii="Courier New" w:eastAsia="Times New Roman" w:hAnsi="Courier New" w:cs="Courier New"/>
          <w:spacing w:val="-11"/>
          <w:sz w:val="24"/>
          <w:szCs w:val="24"/>
          <w:lang w:eastAsia="bg-BG"/>
        </w:rPr>
        <w:t>/кг. Средния добив за обекта е посочен в таблицата за определяне на концесионното плащане.</w:t>
      </w:r>
    </w:p>
    <w:p w:rsidR="005A71CA" w:rsidRPr="00184659" w:rsidRDefault="005A71CA" w:rsidP="003037A6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exact"/>
        <w:ind w:left="2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  При отглеждането на рибите най-голям риск има от липсващ постоянен приток на вода през </w:t>
      </w:r>
      <w:proofErr w:type="spellStart"/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годинита</w:t>
      </w:r>
      <w:proofErr w:type="spellEnd"/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, затова за целите на нашата прогноза приемаме средно, че язовирът през целия период на концесия ще бъде пълен 60 % /съгласно Заповед № РД 09-937/13.04.1998 г. на МЗГАП и Заповед № РД138/13.04.1998 г. на МОСВ с които се утвърждава режима на промишлено рибовъдство, в това число и във вътрешните водоеми.</w:t>
      </w:r>
    </w:p>
    <w:p w:rsidR="005A71CA" w:rsidRPr="00184659" w:rsidRDefault="005A71CA" w:rsidP="003037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A71CA" w:rsidRPr="00184659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Разходите се формират от:</w:t>
      </w:r>
    </w:p>
    <w:p w:rsidR="005A71CA" w:rsidRPr="00184659" w:rsidRDefault="005A71CA" w:rsidP="005A71CA">
      <w:pPr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exact"/>
        <w:ind w:left="24" w:firstLine="715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pacing w:val="-8"/>
          <w:sz w:val="24"/>
          <w:szCs w:val="24"/>
          <w:lang w:eastAsia="bg-BG"/>
        </w:rPr>
        <w:t>Производствени разходи - разходите за зарибяване, храна, санитарни материали ,транспорт и материали за текущ ремонт на съоръженията и текущо почистване на язовирната стена и дерето след преливника от храсти и дървета и</w:t>
      </w: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изграждане на дънен праг с </w:t>
      </w:r>
      <w:proofErr w:type="spellStart"/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рисберма</w:t>
      </w:r>
      <w:proofErr w:type="spellEnd"/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или бетонова плоча в края на канала.</w:t>
      </w:r>
    </w:p>
    <w:p w:rsidR="005A71CA" w:rsidRPr="00184659" w:rsidRDefault="005A71CA" w:rsidP="005A71CA">
      <w:pPr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5" w:lineRule="exact"/>
        <w:ind w:left="24" w:firstLine="715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Разходи за заплати на наетия персонала,</w:t>
      </w:r>
      <w:r w:rsidR="003037A6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външни </w:t>
      </w:r>
      <w:r w:rsidRPr="00184659">
        <w:rPr>
          <w:rFonts w:ascii="Courier New" w:eastAsia="Times New Roman" w:hAnsi="Courier New" w:cs="Courier New"/>
          <w:spacing w:val="-16"/>
          <w:sz w:val="24"/>
          <w:szCs w:val="24"/>
          <w:lang w:eastAsia="bg-BG"/>
        </w:rPr>
        <w:t xml:space="preserve">услуги, такси  и  застраховки  </w:t>
      </w:r>
    </w:p>
    <w:p w:rsidR="005A71CA" w:rsidRPr="00184659" w:rsidRDefault="005A71CA" w:rsidP="005A71CA">
      <w:pPr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5" w:lineRule="exact"/>
        <w:ind w:left="24" w:firstLine="715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Други непредвидени разходи </w:t>
      </w:r>
      <w:r w:rsidRPr="00184659">
        <w:rPr>
          <w:rFonts w:ascii="Courier New" w:eastAsia="Times New Roman" w:hAnsi="Courier New" w:cs="Courier New"/>
          <w:spacing w:val="-8"/>
          <w:sz w:val="24"/>
          <w:szCs w:val="24"/>
          <w:lang w:eastAsia="bg-BG"/>
        </w:rPr>
        <w:t xml:space="preserve"> </w:t>
      </w:r>
      <w:bookmarkEnd w:id="5"/>
    </w:p>
    <w:p w:rsidR="005A71CA" w:rsidRPr="00184659" w:rsidRDefault="005A71CA" w:rsidP="003037A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>Конкретните разходи са посочени в таблицата за определяне на концесионното плащане.</w:t>
      </w:r>
    </w:p>
    <w:p w:rsidR="005A71CA" w:rsidRPr="00184659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A71CA" w:rsidRPr="00184659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 В разработеният вариант приемаме нарастване на приходите до петата година с 4 % годишно и нарастване на разходите с 3,5 % годишно. За периода след петата година приемаме ръст 3 % годишно за получената нетна печалба.</w:t>
      </w:r>
    </w:p>
    <w:p w:rsidR="005A71CA" w:rsidRPr="00184659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84659">
        <w:rPr>
          <w:rFonts w:ascii="Courier New" w:eastAsia="Times New Roman" w:hAnsi="Courier New" w:cs="Courier New"/>
          <w:sz w:val="24"/>
          <w:szCs w:val="24"/>
          <w:lang w:eastAsia="bg-BG"/>
        </w:rPr>
        <w:tab/>
        <w:t>Изчисленията са дадени в таблица  № 1.</w:t>
      </w:r>
    </w:p>
    <w:p w:rsidR="005A71CA" w:rsidRPr="005A71CA" w:rsidRDefault="005A71CA" w:rsidP="003037A6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t>3. Анализ на рисковете при осъществяване на концесията, анализ на чувствителността на основните рискове по концесията и изготвяне на матрица за тяхното разпределение.</w:t>
      </w: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lastRenderedPageBreak/>
        <w:t>Рискът има макроикономически, отраслов и специфичен за обекта произход. Специфичният риск според общоприетите класификации, се подразделя на следните три категории:</w:t>
      </w:r>
    </w:p>
    <w:p w:rsidR="005A71CA" w:rsidRPr="005A71CA" w:rsidRDefault="005A71CA" w:rsidP="005A71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бизнесриск</w:t>
      </w:r>
      <w:proofErr w:type="spellEnd"/>
    </w:p>
    <w:p w:rsidR="005A71CA" w:rsidRPr="005A71CA" w:rsidRDefault="005A71CA" w:rsidP="005A71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финансов риск</w:t>
      </w:r>
    </w:p>
    <w:p w:rsidR="005A71CA" w:rsidRPr="005A71CA" w:rsidRDefault="005A71CA" w:rsidP="005A71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допълнителен риск</w:t>
      </w:r>
    </w:p>
    <w:p w:rsidR="005A71CA" w:rsidRPr="00C018A9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ru-RU"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Тъй като в конкретния случай обекта на концесията се разглежда без кредити, а останалите му задължения се счита, че могат да бъдат погасени своевременно, финансов риск фактически не съществува.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Основният риск при експлоатацията на язовира са: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бизнесриск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и допълнителният риск.</w:t>
      </w:r>
    </w:p>
    <w:p w:rsidR="005A71CA" w:rsidRPr="005A71CA" w:rsidRDefault="005A71CA" w:rsidP="003037A6">
      <w:pPr>
        <w:overflowPunct w:val="0"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Courier New" w:eastAsia="Times New Roman" w:hAnsi="Courier New" w:cs="Courier New"/>
          <w:b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ab/>
      </w:r>
      <w:r w:rsidRPr="005A71CA">
        <w:rPr>
          <w:rFonts w:ascii="Courier New" w:eastAsia="Times New Roman" w:hAnsi="Courier New" w:cs="Courier New"/>
          <w:color w:val="000000"/>
          <w:sz w:val="24"/>
          <w:szCs w:val="24"/>
          <w:lang w:val="ru-RU" w:eastAsia="bg-BG"/>
        </w:rPr>
        <w:t xml:space="preserve"> </w:t>
      </w:r>
      <w:r w:rsidRPr="005A71CA">
        <w:rPr>
          <w:rFonts w:ascii="Courier New" w:eastAsia="Times New Roman" w:hAnsi="Courier New" w:cs="Courier New"/>
          <w:b/>
          <w:sz w:val="24"/>
          <w:szCs w:val="24"/>
          <w:lang w:eastAsia="bg-BG"/>
        </w:rPr>
        <w:t>ОСНОВНИТЕ РИСКОВЕ И ТЯХНОТО РАЗПРЕДЕЛЕНИЕ, ВКЛЮЧИТЕЛНО РИСКОВЕТЕ, КОИТО ТРЯБВА ДА СЕ ПОЕМАТ ОТ КОНЦЕСИОНЕРА СА ОТРАЗЕНИ В ОПРЕДЕЛЕНАТА ДИСКОНТОВА НОРМА „</w:t>
      </w:r>
      <w:r w:rsidRPr="005A71CA">
        <w:rPr>
          <w:rFonts w:ascii="Courier New" w:eastAsia="Times New Roman" w:hAnsi="Courier New" w:cs="Courier New"/>
          <w:b/>
          <w:sz w:val="24"/>
          <w:szCs w:val="24"/>
          <w:lang w:val="en-US" w:eastAsia="bg-BG"/>
        </w:rPr>
        <w:t>R</w:t>
      </w:r>
      <w:r w:rsidRPr="005A71CA">
        <w:rPr>
          <w:rFonts w:ascii="Courier New" w:eastAsia="Times New Roman" w:hAnsi="Courier New" w:cs="Courier New"/>
          <w:b/>
          <w:sz w:val="24"/>
          <w:szCs w:val="24"/>
          <w:lang w:eastAsia="bg-BG"/>
        </w:rPr>
        <w:t>”.</w:t>
      </w: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ab/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Бизнесрискът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е свързан с колебанията на продажбите и тяхната рентабилност. Ако е налице по-голяма изменчивост на получаване на приходи в течение на времето , инвеститорът ще бъде по- неуверен във възможностите да генерира доходи в бъдещи. Следователно инвестирането в недвижими имоти предполага-по-голям бизнес риск. </w:t>
      </w: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Основният производствен риск е свързан с продължителността на концесията и метеорологичните условия, като основна предпоставка за количеството вода в язовира, както и пазарната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конюктура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на цените на продукцията и пазара на труда.</w:t>
      </w:r>
    </w:p>
    <w:p w:rsidR="005A71CA" w:rsidRPr="005A71CA" w:rsidRDefault="005A71CA" w:rsidP="00CF0BA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exact"/>
        <w:ind w:left="2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           При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отглеждането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на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рибите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най-голям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риск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има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от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липсващ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постоянен приток </w:t>
      </w:r>
      <w:proofErr w:type="gram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на вода</w:t>
      </w:r>
      <w:proofErr w:type="gram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през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годинита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,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затова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за целите на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нашата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прогноза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приемаме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средно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, че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язовирът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през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целия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период на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концесия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ще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бъде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пълен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6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0 %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/съгласно Заповед № РД 09-937/13.04.1998 г. на МЗГАП и Заповед № РД138/13.04.1998 г. на МОСВ с които се утвърждава режима на промишлено рибовъдство, в това число и във вътрешните водоеми.</w:t>
      </w:r>
    </w:p>
    <w:p w:rsidR="005A71CA" w:rsidRPr="005A71CA" w:rsidRDefault="005A71CA" w:rsidP="005A71C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exact"/>
        <w:ind w:right="845"/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</w:pP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ru-RU"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Допълнителният риск зависи от потенциала на мениджмънта, квалификацията на персонала и мащабите на извършване на стопанската дейност.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          </w:t>
      </w: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Стойността на дисконтовата норма „</w:t>
      </w:r>
      <w:r w:rsidRPr="005A71CA">
        <w:rPr>
          <w:rFonts w:ascii="Courier New" w:eastAsia="Times New Roman" w:hAnsi="Courier New" w:cs="Courier New"/>
          <w:sz w:val="24"/>
          <w:szCs w:val="24"/>
          <w:lang w:val="en-US" w:eastAsia="bg-BG"/>
        </w:rPr>
        <w:t>R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” за очакваните чисти приходи през прогнозния период, получена като сбор от оценката на различните инвеститорски рискове, измерени чрез величините на описаните по-горе рискове е:</w:t>
      </w: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   </w:t>
      </w:r>
      <w:r w:rsidRPr="005A71CA">
        <w:rPr>
          <w:rFonts w:ascii="Courier New" w:eastAsia="Times New Roman" w:hAnsi="Courier New" w:cs="Courier New"/>
          <w:sz w:val="24"/>
          <w:szCs w:val="24"/>
          <w:lang w:val="en-US" w:eastAsia="bg-BG"/>
        </w:rPr>
        <w:t>R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=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en-US" w:eastAsia="bg-BG"/>
        </w:rPr>
        <w:t>Rf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+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en-US" w:eastAsia="bg-BG"/>
        </w:rPr>
        <w:t>Rg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+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en-US" w:eastAsia="bg-BG"/>
        </w:rPr>
        <w:t>Rs</w:t>
      </w:r>
      <w:proofErr w:type="spellEnd"/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където</w:t>
      </w:r>
    </w:p>
    <w:p w:rsidR="005A71CA" w:rsidRPr="005A71CA" w:rsidRDefault="005A71CA" w:rsidP="005A71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en-US" w:eastAsia="bg-BG"/>
        </w:rPr>
        <w:t>Rf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=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Доходоностност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на ДЦК /%/ </w:t>
      </w:r>
    </w:p>
    <w:p w:rsidR="005A71CA" w:rsidRPr="005A71CA" w:rsidRDefault="005A71CA" w:rsidP="005A71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en-US" w:eastAsia="bg-BG"/>
        </w:rPr>
        <w:t>Rg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- премия за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общия 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риск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от инвестиране на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капиталовия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пазар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.</w:t>
      </w:r>
    </w:p>
    <w:p w:rsidR="005A71CA" w:rsidRPr="005A71CA" w:rsidRDefault="005A71CA" w:rsidP="005A71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en-US" w:eastAsia="bg-BG"/>
        </w:rPr>
        <w:t>Rs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- специфичен риск за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обекта,свързан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със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състоянието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и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перспективите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на развитие</w:t>
      </w:r>
    </w:p>
    <w:p w:rsidR="005A71CA" w:rsidRPr="005A71CA" w:rsidRDefault="005A71CA" w:rsidP="005A71CA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</w:pPr>
    </w:p>
    <w:p w:rsidR="005A71CA" w:rsidRPr="005A71CA" w:rsidRDefault="005A71CA" w:rsidP="005A71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ru-RU" w:eastAsia="bg-BG"/>
        </w:rPr>
      </w:pP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en-US" w:eastAsia="bg-BG"/>
        </w:rPr>
        <w:t>Rf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=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Доходоностност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на ДЦК /%/ =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5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% -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безрискова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норма на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възвращаемост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/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доходоностността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на държавните ценни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lastRenderedPageBreak/>
        <w:t xml:space="preserve">книжа/ може да се счита напълно подходяща стойност </w:t>
      </w:r>
      <w:proofErr w:type="gram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съответстваща  за</w:t>
      </w:r>
      <w:proofErr w:type="gram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нашата действителност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.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В момента страната е във валутен борд, инфлацията е сравнително ниска и доходите са стабилни, макар и със слабо развит пазар на ДЦК.</w:t>
      </w:r>
    </w:p>
    <w:p w:rsidR="005A71CA" w:rsidRPr="005A71CA" w:rsidRDefault="005A71CA" w:rsidP="005A71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en-US" w:eastAsia="bg-BG"/>
        </w:rPr>
        <w:t>Rg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- премия за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общия 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риск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от инвестиране на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капиталовия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пазар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.</w:t>
      </w:r>
    </w:p>
    <w:p w:rsidR="005A71CA" w:rsidRPr="00CF0BA4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      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ab/>
      </w: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В развитите пазарни икономики методите за определяне на тази съставка могат да се квалифицират в следните категории: емпирични наблюдения за продажби на акции;  данни от реалния капиталов пазар /статистически изследвания/; цени на акции на компании базиращи се на </w:t>
      </w:r>
      <w:proofErr w:type="spellStart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Priie</w:t>
      </w:r>
      <w:proofErr w:type="spellEnd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/</w:t>
      </w:r>
      <w:proofErr w:type="spellStart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Еarnings</w:t>
      </w:r>
      <w:proofErr w:type="spellEnd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proofErr w:type="spellStart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ratios</w:t>
      </w:r>
      <w:proofErr w:type="spellEnd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; изследвания по възвращаемост на капиталовия пазар и др.методи.</w:t>
      </w:r>
      <w:r w:rsid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Особено трудно е да се определи съставката </w:t>
      </w:r>
      <w:proofErr w:type="spellStart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Re</w:t>
      </w:r>
      <w:proofErr w:type="spellEnd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за условията на несъществуващ капиталов пазар. Затова стойността на този коефициент ще определим по експертен път. </w:t>
      </w:r>
    </w:p>
    <w:p w:rsidR="005A71CA" w:rsidRPr="00CF0BA4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Приемам </w:t>
      </w:r>
      <w:proofErr w:type="spellStart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Rg</w:t>
      </w:r>
      <w:proofErr w:type="spellEnd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= 5 %.</w:t>
      </w:r>
    </w:p>
    <w:p w:rsidR="005A71CA" w:rsidRPr="00CF0BA4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Инвеститорът поема по-висок риск от кредиторите и трябва да се добави надбавка за инвестиционен риск или наречен специфичен риск /</w:t>
      </w:r>
      <w:proofErr w:type="spellStart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Rs</w:t>
      </w:r>
      <w:proofErr w:type="spellEnd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/. </w:t>
      </w:r>
    </w:p>
    <w:p w:rsidR="005A71CA" w:rsidRPr="00CF0BA4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 - </w:t>
      </w:r>
      <w:proofErr w:type="spellStart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Rs</w:t>
      </w:r>
      <w:proofErr w:type="spellEnd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- специфичен риск за обекта,свързан със състоянието и перспективите на развитие.</w:t>
      </w:r>
    </w:p>
    <w:p w:rsidR="005A71CA" w:rsidRPr="00CF0BA4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proofErr w:type="spellStart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Rs</w:t>
      </w:r>
      <w:proofErr w:type="spellEnd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&gt; 0 - когато предприятието е по-рисково от капиталовия пазар.Стойността на допълнителния риск /изискваната възвращаемост/ се определя след анализ и интерпретация на икономическите и финансови резултати на оценяваното предприятие в сравнение с тези на капиталовия пазар.</w:t>
      </w:r>
    </w:p>
    <w:p w:rsidR="005A71CA" w:rsidRPr="00CF0BA4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Един от начините за определяне на специфичния риск /</w:t>
      </w:r>
      <w:proofErr w:type="spellStart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Rs</w:t>
      </w:r>
      <w:proofErr w:type="spellEnd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/ е метода на </w:t>
      </w:r>
      <w:proofErr w:type="spellStart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Д.Белински</w:t>
      </w:r>
      <w:proofErr w:type="spellEnd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където се изследват различните рискови фактори за предприятието, като  </w:t>
      </w:r>
      <w:proofErr w:type="spellStart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стойноста</w:t>
      </w:r>
      <w:proofErr w:type="spellEnd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на всеки от тях е в интервала от 0 до 5 %.</w:t>
      </w:r>
    </w:p>
    <w:p w:rsidR="005A71CA" w:rsidRPr="00CF0BA4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 Основните рискови фактори и приети стойности са:</w:t>
      </w:r>
    </w:p>
    <w:p w:rsidR="005A71CA" w:rsidRPr="00CF0BA4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 - Ръководство на обекта            -  3 %</w:t>
      </w:r>
    </w:p>
    <w:p w:rsidR="005A71CA" w:rsidRPr="00CF0BA4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 - Размер на комплекса               -  5 %</w:t>
      </w:r>
    </w:p>
    <w:p w:rsidR="005A71CA" w:rsidRPr="00CF0BA4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 - Доходи: на база бъдеща прогноза    - 5 %</w:t>
      </w:r>
    </w:p>
    <w:p w:rsidR="005A71CA" w:rsidRPr="00CF0BA4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 - Продуктова и географска стратегия - 3 %</w:t>
      </w:r>
    </w:p>
    <w:p w:rsidR="005A71CA" w:rsidRPr="00CF0BA4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 - Конкуренция                            - 5 %</w:t>
      </w:r>
    </w:p>
    <w:p w:rsidR="005A71CA" w:rsidRPr="00CF0BA4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 - Др.специфични рискове          - 5 %</w:t>
      </w:r>
    </w:p>
    <w:p w:rsidR="005A71CA" w:rsidRPr="00CF0BA4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A71CA" w:rsidRPr="00CF0BA4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приемаме   </w:t>
      </w:r>
      <w:proofErr w:type="spellStart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Rs</w:t>
      </w:r>
      <w:proofErr w:type="spellEnd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= 5 %</w:t>
      </w: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Стойността на дисконтовата норма R за очакваните чисти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приходи през прогнозния период, получена като сбор от оценката на различните инвеститорски рискове, измерени чрез величините на описаните по-горе рискове е:</w:t>
      </w: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val="en-US" w:eastAsia="bg-BG"/>
        </w:rPr>
        <w:t>R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=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5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+ 5+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5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=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15</w:t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% </w:t>
      </w:r>
    </w:p>
    <w:p w:rsidR="005A71CA" w:rsidRPr="005A71CA" w:rsidRDefault="005A71CA" w:rsidP="00CF0BA4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t xml:space="preserve">4. Анализ и изводи за ефективността на концесията с цел справедливо разпределение на ползите от концесията в зависимост от степента на поемане на риска, извършени въз основа на показателите финансова вътрешна норма на възвръщаемост на </w:t>
      </w:r>
      <w:r w:rsidRPr="005A71CA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lastRenderedPageBreak/>
        <w:t>инвестицията и собствения капитал, финансова нетна настояща стойност, срок на откупуване на инвестициите и др.</w:t>
      </w:r>
    </w:p>
    <w:p w:rsidR="005A71CA" w:rsidRPr="00CF0BA4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Ефективността на проектите за ползване на обекти се оценява на базата на анализа на парични потоци /</w:t>
      </w:r>
      <w:proofErr w:type="spellStart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Cash</w:t>
      </w:r>
      <w:proofErr w:type="spellEnd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proofErr w:type="spellStart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Flow</w:t>
      </w:r>
      <w:proofErr w:type="spellEnd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proofErr w:type="spellStart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Analysis</w:t>
      </w:r>
      <w:proofErr w:type="spellEnd"/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/, който представлява динамичен метод за оценяване на финансова /комерсиална/  ефективност.</w:t>
      </w:r>
    </w:p>
    <w:p w:rsidR="005A71CA" w:rsidRPr="00CF0BA4" w:rsidRDefault="005A71CA" w:rsidP="005A71CA">
      <w:pPr>
        <w:numPr>
          <w:ilvl w:val="12"/>
          <w:numId w:val="0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Обектът предмет на концесията е построен през 1965 година, което налага извода,</w:t>
      </w:r>
      <w:r w:rsid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че анализът  и изводите за ефективността на проекта е направената преди изграждането му.</w:t>
      </w:r>
    </w:p>
    <w:p w:rsidR="005A71CA" w:rsidRPr="00CF0BA4" w:rsidRDefault="005A71CA" w:rsidP="005A71CA">
      <w:pPr>
        <w:numPr>
          <w:ilvl w:val="12"/>
          <w:numId w:val="0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Обектът е построен и експлоатиран вече </w:t>
      </w:r>
      <w:r w:rsidR="00CF0BA4">
        <w:rPr>
          <w:rFonts w:ascii="Courier New" w:eastAsia="Times New Roman" w:hAnsi="Courier New" w:cs="Courier New"/>
          <w:sz w:val="24"/>
          <w:szCs w:val="24"/>
          <w:lang w:eastAsia="bg-BG"/>
        </w:rPr>
        <w:t>5</w:t>
      </w: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>8 години, от което се налага извода, че направената инвестиция през 196</w:t>
      </w:r>
      <w:r w:rsidR="00CF0BA4">
        <w:rPr>
          <w:rFonts w:ascii="Courier New" w:eastAsia="Times New Roman" w:hAnsi="Courier New" w:cs="Courier New"/>
          <w:sz w:val="24"/>
          <w:szCs w:val="24"/>
          <w:lang w:eastAsia="bg-BG"/>
        </w:rPr>
        <w:t>1</w:t>
      </w:r>
      <w:r w:rsidRPr="00CF0BA4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г. е икономически изгодна.</w:t>
      </w: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Към датата на настоящия анализ, в Заданието на община Дряново няма предвидени нови инвестиции за периода на концесията, от което следва, че не е необходимо да се извършва „Анализът за ефективността на проекта” по методите:</w:t>
      </w:r>
    </w:p>
    <w:p w:rsidR="005A71CA" w:rsidRPr="005A71CA" w:rsidRDefault="005A71CA" w:rsidP="005A71CA">
      <w:pPr>
        <w:numPr>
          <w:ilvl w:val="12"/>
          <w:numId w:val="0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1. Метод на вътрешната  норма на възвращаемост на инвестиционния проект </w:t>
      </w:r>
      <w:r w:rsidRPr="00C018A9">
        <w:rPr>
          <w:rFonts w:ascii="Courier New" w:eastAsia="Times New Roman" w:hAnsi="Courier New" w:cs="Courier New"/>
          <w:sz w:val="24"/>
          <w:szCs w:val="24"/>
          <w:lang w:val="ru-RU" w:eastAsia="bg-BG"/>
        </w:rPr>
        <w:t>(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ВНВ</w:t>
      </w:r>
      <w:r w:rsidRPr="00C018A9">
        <w:rPr>
          <w:rFonts w:ascii="Courier New" w:eastAsia="Times New Roman" w:hAnsi="Courier New" w:cs="Courier New"/>
          <w:sz w:val="24"/>
          <w:szCs w:val="24"/>
          <w:lang w:val="ru-RU" w:eastAsia="bg-BG"/>
        </w:rPr>
        <w:t>)</w:t>
      </w:r>
    </w:p>
    <w:p w:rsidR="005A71CA" w:rsidRPr="005A71CA" w:rsidRDefault="005A71CA" w:rsidP="005A71CA">
      <w:pPr>
        <w:numPr>
          <w:ilvl w:val="12"/>
          <w:numId w:val="0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2. Метод на нетната настояща стойност </w:t>
      </w:r>
      <w:r w:rsidRPr="00C018A9">
        <w:rPr>
          <w:rFonts w:ascii="Courier New" w:eastAsia="Times New Roman" w:hAnsi="Courier New" w:cs="Courier New"/>
          <w:sz w:val="24"/>
          <w:szCs w:val="24"/>
          <w:lang w:val="ru-RU" w:eastAsia="bg-BG"/>
        </w:rPr>
        <w:t>(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ННС</w:t>
      </w:r>
      <w:r w:rsidRPr="00C018A9">
        <w:rPr>
          <w:rFonts w:ascii="Courier New" w:eastAsia="Times New Roman" w:hAnsi="Courier New" w:cs="Courier New"/>
          <w:sz w:val="24"/>
          <w:szCs w:val="24"/>
          <w:lang w:val="ru-RU" w:eastAsia="bg-BG"/>
        </w:rPr>
        <w:t>)</w:t>
      </w: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3.Метод на срока на</w:t>
      </w:r>
      <w:r w:rsidRPr="00C018A9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сконтираното откупуване на инвестицията</w:t>
      </w:r>
    </w:p>
    <w:p w:rsidR="005A71CA" w:rsidRPr="005A71CA" w:rsidRDefault="005A71CA" w:rsidP="005A71CA">
      <w:pPr>
        <w:numPr>
          <w:ilvl w:val="12"/>
          <w:numId w:val="0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A71CA" w:rsidRPr="005A71CA" w:rsidRDefault="005A71CA" w:rsidP="005A71CA">
      <w:pPr>
        <w:numPr>
          <w:ilvl w:val="12"/>
          <w:numId w:val="0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sz w:val="24"/>
          <w:szCs w:val="24"/>
          <w:lang w:eastAsia="bg-BG"/>
        </w:rPr>
      </w:pPr>
      <w:r w:rsidRPr="00C018A9">
        <w:rPr>
          <w:rFonts w:ascii="Courier New" w:eastAsia="Times New Roman" w:hAnsi="Courier New" w:cs="Courier New"/>
          <w:b/>
          <w:sz w:val="24"/>
          <w:szCs w:val="24"/>
          <w:lang w:val="ru-RU" w:eastAsia="bg-BG"/>
        </w:rPr>
        <w:t>ЕФЕКТИВНОСТТА НА КОНЦЕСИЯТА ОТ ГЛЕДНА ТОЧКА НА КОНЦЕДЕНТА Е ПОЛУЧАВАНЕ НА</w:t>
      </w:r>
      <w:r w:rsidRPr="005A71CA">
        <w:rPr>
          <w:rFonts w:ascii="Courier New" w:eastAsia="Times New Roman" w:hAnsi="Courier New" w:cs="Courier New"/>
          <w:b/>
          <w:sz w:val="24"/>
          <w:szCs w:val="24"/>
          <w:lang w:eastAsia="bg-BG"/>
        </w:rPr>
        <w:t xml:space="preserve"> КОНЦЕСИОННОТО ПЛАЩАНЕ, КАТО ЧАСТ ОТ РЕАЛИЗИРАНАТА НЕТНА ПЕЧАЛБА ОТ СТОПАНСКАТА ДЕЙНОСТ ИЗВЪРШВАНА В ОБЕКТА НА КОНЦЕСИЯ ПРЕЗ ПЕРИОДА НА КОНЦЕСИЯТА.</w:t>
      </w:r>
    </w:p>
    <w:p w:rsidR="005A71CA" w:rsidRPr="005A71CA" w:rsidRDefault="005A71CA" w:rsidP="005A71CA">
      <w:pPr>
        <w:numPr>
          <w:ilvl w:val="12"/>
          <w:numId w:val="0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A71CA" w:rsidRPr="005A71CA" w:rsidRDefault="005A71CA" w:rsidP="005A71CA">
      <w:pPr>
        <w:numPr>
          <w:ilvl w:val="12"/>
          <w:numId w:val="0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Към настоящия момент обектът е в добро техническо състояние и може да генерира приходи за собственика си. На тази база ще определим икономическата полза/концесионното плащане/ от бъдещата експлоатация на обекта през периода на концесията.</w:t>
      </w:r>
    </w:p>
    <w:p w:rsidR="005A71CA" w:rsidRPr="005A71CA" w:rsidRDefault="005A71CA" w:rsidP="005A71CA">
      <w:pPr>
        <w:numPr>
          <w:ilvl w:val="12"/>
          <w:numId w:val="0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Концесионното плащане ще определим като част от реализираната нетна печалба от стопанската дейност извършвана в обекта на концесия.</w:t>
      </w:r>
    </w:p>
    <w:p w:rsidR="005A71CA" w:rsidRPr="005A71CA" w:rsidRDefault="005A71CA" w:rsidP="005A71CA">
      <w:pPr>
        <w:numPr>
          <w:ilvl w:val="12"/>
          <w:numId w:val="0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За определяне на нетната печалба от дейността по експлоатацията на обекта на концесията, която се получава като разлика между сумарните годишни приходи и разходи с  приспадане на данъците / табл./, а след това и при нейното трансформиране в паричен поток на чистия приход, са приети следните допускания и ограничителни условия:</w:t>
      </w:r>
    </w:p>
    <w:p w:rsidR="005A71CA" w:rsidRPr="005A71CA" w:rsidRDefault="005A71CA" w:rsidP="005A71CA">
      <w:pPr>
        <w:numPr>
          <w:ilvl w:val="12"/>
          <w:numId w:val="0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1.Като времеви хоризонт на прогнозните очаквания за брутни и нетни  финансови резултати, които са изходна база за определяне размера на концесионното плащане се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използува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5 годишен период.</w:t>
      </w:r>
    </w:p>
    <w:p w:rsidR="005A71CA" w:rsidRPr="005A71CA" w:rsidRDefault="005A71CA" w:rsidP="005A71CA">
      <w:pPr>
        <w:numPr>
          <w:ilvl w:val="12"/>
          <w:numId w:val="0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2. Изготвената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бизнеспрограма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и нейната финансова част са съставени след проучване и анализ на: </w:t>
      </w:r>
    </w:p>
    <w:p w:rsidR="005A71CA" w:rsidRPr="005A71CA" w:rsidRDefault="005A71CA" w:rsidP="005A71CA">
      <w:pPr>
        <w:numPr>
          <w:ilvl w:val="12"/>
          <w:numId w:val="0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- пазарно проучване за потребление на риба в града, областта и страната. </w:t>
      </w:r>
    </w:p>
    <w:p w:rsidR="005A71CA" w:rsidRPr="005A71CA" w:rsidRDefault="005A71CA" w:rsidP="005A71CA">
      <w:pPr>
        <w:numPr>
          <w:ilvl w:val="12"/>
          <w:numId w:val="0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- финансови ресурси</w:t>
      </w:r>
    </w:p>
    <w:p w:rsidR="005A71CA" w:rsidRPr="005A71CA" w:rsidRDefault="005A71CA" w:rsidP="005A71CA">
      <w:pPr>
        <w:numPr>
          <w:ilvl w:val="12"/>
          <w:numId w:val="0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- икономическа среда</w:t>
      </w:r>
    </w:p>
    <w:p w:rsidR="005A71CA" w:rsidRPr="005A71CA" w:rsidRDefault="005A71CA" w:rsidP="005A71C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149" w:lineRule="exact"/>
        <w:ind w:left="91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lastRenderedPageBreak/>
        <w:t xml:space="preserve">3.Поради непредсказуемостта на развитието на  инфлационните процеси, както и на останалите макроикономически показатели, очакваните приходи и разходи през следващите </w:t>
      </w:r>
      <w:r w:rsidRPr="00C018A9">
        <w:rPr>
          <w:rFonts w:ascii="Courier New" w:eastAsia="Times New Roman" w:hAnsi="Courier New" w:cs="Courier New"/>
          <w:sz w:val="24"/>
          <w:szCs w:val="24"/>
          <w:lang w:val="ru-RU" w:eastAsia="bg-BG"/>
        </w:rPr>
        <w:t>5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години са изчислени на база съпоставими цени към м.</w:t>
      </w:r>
      <w:r w:rsid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ноември 2018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г. Техните стойности са съобразени с равнището на цените на рибата, цените на суровините и разходите за труд  за извършваните дейности през времето на концесията.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ab/>
        <w:t xml:space="preserve">Логиката на това приемане се основава на  допускането, че структурата на приходите и разходите ще се запази относително постоянна през следващия </w:t>
      </w:r>
      <w:r w:rsidRPr="00C018A9">
        <w:rPr>
          <w:rFonts w:ascii="Courier New" w:eastAsia="Times New Roman" w:hAnsi="Courier New" w:cs="Courier New"/>
          <w:sz w:val="24"/>
          <w:szCs w:val="24"/>
          <w:lang w:val="ru-RU" w:eastAsia="bg-BG"/>
        </w:rPr>
        <w:t>5</w:t>
      </w:r>
      <w:r w:rsidRPr="005A71CA"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  <w:t xml:space="preserve">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годишен период на експлоатация, поради което изменението на макроикономическата среда /инфлация, валутен курс и основен лихвен процент/ ще оказва пропорционално влияние върху техните стойности.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4. А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мортизационната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>програма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5. Размерът на данъчното облагане  е определен, съгласно чл.20 от ЗКПО /Дв.бр.105/2006 г./ в размер на 10 %.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6. Разходи за инвестиции  ще бъдат свързани с текущото поддържане на съоръженията в добро експлоатационно състояние и те са включени като текущи производствени разходи.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7. Изменението на оборотния капитал не се предвиждат, тъй като се приема, че поръчките на потенциалните клиенти ще се изпълняват ритмично. Прието е, че краткосрочните кредити /ако има такива/, ще се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използуват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за оборотни средства в рамките на 1 година и ще се погасяват до началото на следващата.  В резултат на подобряване на финансовата дисциплина предвижда вземанията да се събират също в едногодишен срок.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8. През прогнозния период за финансиране на дейността на обекта, ще се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използуват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собствени източници това предполага отсъствие на кредити с дългосрочен характер, както и разходи за погасяване на главници и лихви.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ab/>
        <w:t>Определяне на нетните парични потоци преди и след облагането с данъци и концесионното плащане  е дадено в таблица.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ab/>
        <w:t xml:space="preserve">За определяне на нетните парични потоци се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използува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схемата:</w:t>
      </w: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tbl>
      <w:tblPr>
        <w:tblW w:w="0" w:type="auto"/>
        <w:tblInd w:w="1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4"/>
      </w:tblGrid>
      <w:tr w:rsidR="005A71CA" w:rsidRPr="005A71CA" w:rsidTr="00AC26A1"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CA" w:rsidRPr="005A71CA" w:rsidRDefault="005A71CA" w:rsidP="005A71C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Наименование на показателите по години</w:t>
            </w:r>
          </w:p>
        </w:tc>
      </w:tr>
      <w:tr w:rsidR="005A71CA" w:rsidRPr="005A71CA" w:rsidTr="00AC26A1"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CA" w:rsidRPr="005A71CA" w:rsidRDefault="005A71CA" w:rsidP="005A71C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1. Приходи от дейността -</w:t>
            </w:r>
          </w:p>
        </w:tc>
      </w:tr>
      <w:tr w:rsidR="005A71CA" w:rsidRPr="005A71CA" w:rsidTr="00AC26A1"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CA" w:rsidRPr="005A71CA" w:rsidRDefault="005A71CA" w:rsidP="005A71C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2. Променливи разходи</w:t>
            </w:r>
          </w:p>
        </w:tc>
      </w:tr>
      <w:tr w:rsidR="005A71CA" w:rsidRPr="005A71CA" w:rsidTr="00AC26A1"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CA" w:rsidRPr="005A71CA" w:rsidRDefault="005A71CA" w:rsidP="005A71C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3. Условно постоянни разходи без амортизациите</w:t>
            </w:r>
          </w:p>
        </w:tc>
      </w:tr>
      <w:tr w:rsidR="005A71CA" w:rsidRPr="005A71CA" w:rsidTr="00AC26A1"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CA" w:rsidRPr="005A71CA" w:rsidRDefault="005A71CA" w:rsidP="005A71C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4. Разлика /приходи – разходи/ - /р.1- р.2 –р.3/</w:t>
            </w:r>
          </w:p>
        </w:tc>
      </w:tr>
      <w:tr w:rsidR="005A71CA" w:rsidRPr="005A71CA" w:rsidTr="00AC26A1"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CA" w:rsidRPr="005A71CA" w:rsidRDefault="005A71CA" w:rsidP="005A71C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5. Данък върху печалбата – 10 %</w:t>
            </w:r>
          </w:p>
        </w:tc>
      </w:tr>
      <w:tr w:rsidR="005A71CA" w:rsidRPr="005A71CA" w:rsidTr="00AC26A1"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CA" w:rsidRPr="00C018A9" w:rsidRDefault="005A71CA" w:rsidP="005A71C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val="ru-RU"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6.Чиста/нетна/ печалба </w:t>
            </w:r>
            <w:r w:rsidRPr="00C018A9">
              <w:rPr>
                <w:rFonts w:ascii="Courier New" w:eastAsia="Times New Roman" w:hAnsi="Courier New" w:cs="Courier New"/>
                <w:sz w:val="24"/>
                <w:szCs w:val="24"/>
                <w:lang w:val="ru-RU" w:eastAsia="bg-BG"/>
              </w:rPr>
              <w:t>(</w:t>
            </w: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р.4 – р.5</w:t>
            </w:r>
            <w:r w:rsidRPr="00C018A9">
              <w:rPr>
                <w:rFonts w:ascii="Courier New" w:eastAsia="Times New Roman" w:hAnsi="Courier New" w:cs="Courier New"/>
                <w:sz w:val="24"/>
                <w:szCs w:val="24"/>
                <w:lang w:val="ru-RU" w:eastAsia="bg-BG"/>
              </w:rPr>
              <w:t>)</w:t>
            </w:r>
          </w:p>
        </w:tc>
      </w:tr>
      <w:tr w:rsidR="005A71CA" w:rsidRPr="005A71CA" w:rsidTr="00AC26A1"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CA" w:rsidRPr="005A71CA" w:rsidRDefault="005A71CA" w:rsidP="005A71C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val="en-US"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7. Концесионно плащане </w:t>
            </w: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val="en-US" w:eastAsia="bg-BG"/>
              </w:rPr>
              <w:t xml:space="preserve">( </w:t>
            </w: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% от р. 6</w:t>
            </w: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val="en-US" w:eastAsia="bg-BG"/>
              </w:rPr>
              <w:t>)</w:t>
            </w:r>
          </w:p>
        </w:tc>
      </w:tr>
      <w:tr w:rsidR="005A71CA" w:rsidRPr="005A71CA" w:rsidTr="00AC26A1"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CA" w:rsidRPr="005A71CA" w:rsidRDefault="005A71CA" w:rsidP="005A71C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8. Дисконтов фактор - </w:t>
            </w: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val="en-US" w:eastAsia="bg-BG"/>
              </w:rPr>
              <w:t>R</w:t>
            </w: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A71CA" w:rsidRPr="005A71CA" w:rsidTr="00AC26A1"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CA" w:rsidRPr="005A71CA" w:rsidRDefault="005A71CA" w:rsidP="005A71C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9.</w:t>
            </w: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val="ru-RU" w:eastAsia="bg-BG"/>
              </w:rPr>
              <w:t xml:space="preserve">   </w:t>
            </w: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Нетен паричен поток на чистите /нетни/ приходи –</w:t>
            </w: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val="en-US" w:eastAsia="bg-BG"/>
              </w:rPr>
              <w:t>NCF</w:t>
            </w: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val="ru-RU" w:eastAsia="bg-BG"/>
              </w:rPr>
              <w:t xml:space="preserve"> </w:t>
            </w:r>
            <w:r w:rsidRPr="00C018A9">
              <w:rPr>
                <w:rFonts w:ascii="Courier New" w:eastAsia="Times New Roman" w:hAnsi="Courier New" w:cs="Courier New"/>
                <w:sz w:val="24"/>
                <w:szCs w:val="24"/>
                <w:lang w:val="ru-RU" w:eastAsia="bg-BG"/>
              </w:rPr>
              <w:t xml:space="preserve">= </w:t>
            </w: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/ р.6 </w:t>
            </w:r>
            <w:r w:rsidRPr="00C018A9">
              <w:rPr>
                <w:rFonts w:ascii="Courier New" w:eastAsia="Times New Roman" w:hAnsi="Courier New" w:cs="Courier New"/>
                <w:sz w:val="24"/>
                <w:szCs w:val="24"/>
                <w:lang w:val="ru-RU" w:eastAsia="bg-BG"/>
              </w:rPr>
              <w:t>*</w:t>
            </w: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р.8/</w:t>
            </w:r>
          </w:p>
        </w:tc>
      </w:tr>
    </w:tbl>
    <w:p w:rsidR="005A71CA" w:rsidRPr="00ED64DE" w:rsidRDefault="005A71CA" w:rsidP="005A71CA">
      <w:pPr>
        <w:numPr>
          <w:ilvl w:val="12"/>
          <w:numId w:val="0"/>
        </w:num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D64DE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lastRenderedPageBreak/>
        <w:t>НЕТНИТЕ ПАРИЧНИ ПОТОЦИ</w:t>
      </w: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r w:rsidRPr="00ED64DE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t>/НПП/</w:t>
      </w: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включват всички парични средства, които остават на разположение на концесионера. Следователно точното третиране на </w:t>
      </w:r>
      <w:proofErr w:type="spellStart"/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>доходоностността</w:t>
      </w:r>
      <w:proofErr w:type="spellEnd"/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на обекта освен чистия доход след облагане следва да включи всички брутни парични средства, акумулирани при функционирането му в прогнозния период. Чистите парични потоци са дадени в таблицата.</w:t>
      </w:r>
    </w:p>
    <w:p w:rsidR="005A71CA" w:rsidRPr="005A71CA" w:rsidRDefault="005A71CA" w:rsidP="00ED64DE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t>5. Предложение за вида, размера и начина на плащане на концесионно плащане.</w:t>
      </w: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bg-BG"/>
        </w:rPr>
      </w:pPr>
      <w:r w:rsidRPr="005A71C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ru-RU" w:eastAsia="bg-BG"/>
        </w:rPr>
        <w:t xml:space="preserve">ОПРЕДЕЛЯНЕ КОНЦЕСИОННОТО </w:t>
      </w:r>
      <w:r w:rsidRPr="005A71C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bg-BG"/>
        </w:rPr>
        <w:t>ПЛАЩАНЕ</w:t>
      </w:r>
      <w:r w:rsidR="007234B9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bg-BG"/>
        </w:rPr>
        <w:t xml:space="preserve"> </w:t>
      </w:r>
    </w:p>
    <w:p w:rsidR="007234B9" w:rsidRPr="007234B9" w:rsidRDefault="007234B9" w:rsidP="007234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Cs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bg-BG"/>
        </w:rPr>
        <w:t>Ко</w:t>
      </w:r>
      <w:r w:rsidR="005A71CA" w:rsidRPr="005A71CA">
        <w:rPr>
          <w:rFonts w:ascii="Courier New" w:eastAsia="Times New Roman" w:hAnsi="Courier New" w:cs="Courier New"/>
          <w:bCs/>
          <w:sz w:val="24"/>
          <w:szCs w:val="24"/>
          <w:lang w:eastAsia="bg-BG"/>
        </w:rPr>
        <w:t xml:space="preserve">нцесионното плащане за срока на предоставяне на концесията, определено като сума от постоянни по размер годишни вноски, ще се изплаща </w:t>
      </w:r>
      <w:r w:rsidRPr="007234B9">
        <w:rPr>
          <w:rFonts w:ascii="Courier New" w:eastAsia="Times New Roman" w:hAnsi="Courier New" w:cs="Courier New"/>
          <w:bCs/>
          <w:sz w:val="24"/>
          <w:szCs w:val="24"/>
          <w:lang w:eastAsia="bg-BG"/>
        </w:rPr>
        <w:t>както следва:</w:t>
      </w:r>
    </w:p>
    <w:p w:rsidR="007234B9" w:rsidRPr="00C018A9" w:rsidRDefault="007234B9" w:rsidP="007234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Cs/>
          <w:sz w:val="24"/>
          <w:szCs w:val="24"/>
          <w:lang w:eastAsia="bg-BG"/>
        </w:rPr>
      </w:pPr>
      <w:r w:rsidRPr="00C018A9">
        <w:rPr>
          <w:rFonts w:ascii="Courier New" w:eastAsia="Times New Roman" w:hAnsi="Courier New" w:cs="Courier New"/>
          <w:bCs/>
          <w:sz w:val="24"/>
          <w:szCs w:val="24"/>
          <w:lang w:eastAsia="bg-BG"/>
        </w:rPr>
        <w:t>-</w:t>
      </w:r>
      <w:r w:rsidRPr="00C018A9">
        <w:rPr>
          <w:rFonts w:ascii="Courier New" w:eastAsia="Times New Roman" w:hAnsi="Courier New" w:cs="Courier New"/>
          <w:bCs/>
          <w:sz w:val="24"/>
          <w:szCs w:val="24"/>
          <w:lang w:eastAsia="bg-BG"/>
        </w:rPr>
        <w:tab/>
        <w:t xml:space="preserve">Първото концесионно възнаграждение се заплаща до 30-то число на месеца, следващ месеца на изтичане на година, през която е влязъл в сила концесионния договор и се дължи пропорционално за периода от време от годината, през която концесионният договор е действал;  </w:t>
      </w:r>
    </w:p>
    <w:p w:rsidR="007234B9" w:rsidRPr="00C018A9" w:rsidRDefault="007234B9" w:rsidP="007234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Cs/>
          <w:sz w:val="24"/>
          <w:szCs w:val="24"/>
          <w:lang w:eastAsia="bg-BG"/>
        </w:rPr>
      </w:pPr>
      <w:r w:rsidRPr="00C018A9">
        <w:rPr>
          <w:rFonts w:ascii="Courier New" w:eastAsia="Times New Roman" w:hAnsi="Courier New" w:cs="Courier New"/>
          <w:bCs/>
          <w:sz w:val="24"/>
          <w:szCs w:val="24"/>
          <w:lang w:eastAsia="bg-BG"/>
        </w:rPr>
        <w:t>-</w:t>
      </w:r>
      <w:r w:rsidRPr="00C018A9">
        <w:rPr>
          <w:rFonts w:ascii="Courier New" w:eastAsia="Times New Roman" w:hAnsi="Courier New" w:cs="Courier New"/>
          <w:bCs/>
          <w:sz w:val="24"/>
          <w:szCs w:val="24"/>
          <w:lang w:eastAsia="bg-BG"/>
        </w:rPr>
        <w:tab/>
        <w:t>За всяка следваща година от срока на концесията годишното концесионно възнаграждение се заплаща до 30.06. на съответната година.</w:t>
      </w:r>
    </w:p>
    <w:p w:rsidR="005A71CA" w:rsidRPr="005A71CA" w:rsidRDefault="005A71CA" w:rsidP="007234B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C018A9">
        <w:rPr>
          <w:rFonts w:ascii="Courier New" w:eastAsia="Times New Roman" w:hAnsi="Courier New" w:cs="Courier New"/>
          <w:sz w:val="24"/>
          <w:szCs w:val="24"/>
          <w:lang w:eastAsia="bg-BG"/>
        </w:rPr>
        <w:t>Приемаме  размера</w:t>
      </w:r>
      <w:bookmarkStart w:id="6" w:name="_GoBack"/>
      <w:bookmarkEnd w:id="6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на концесионното плащане  50 % от размера на нетната печалба.</w:t>
      </w: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</w:pP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b/>
          <w:bCs/>
          <w:sz w:val="24"/>
          <w:szCs w:val="24"/>
          <w:lang w:val="ru-RU" w:eastAsia="bg-BG"/>
        </w:rPr>
        <w:t xml:space="preserve">СХЕМА ЗА </w:t>
      </w:r>
      <w:r w:rsidRPr="005A71CA"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  <w:t>ИЗВЪРШВАНЕ</w:t>
      </w:r>
      <w:r w:rsidRPr="005A71CA">
        <w:rPr>
          <w:rFonts w:ascii="Courier New" w:eastAsia="Times New Roman" w:hAnsi="Courier New" w:cs="Courier New"/>
          <w:b/>
          <w:bCs/>
          <w:sz w:val="24"/>
          <w:szCs w:val="24"/>
          <w:lang w:val="ru-RU" w:eastAsia="bg-BG"/>
        </w:rPr>
        <w:t xml:space="preserve"> НА КОНЦЕСИОННОТО </w:t>
      </w:r>
      <w:r w:rsidRPr="005A71CA"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  <w:t>ПЛАЩАНЕ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1239C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Сегашна стойност на концесионното плащане – </w:t>
      </w:r>
      <w:r w:rsidRPr="001239CE">
        <w:rPr>
          <w:rFonts w:ascii="Courier New" w:eastAsia="Times New Roman" w:hAnsi="Courier New" w:cs="Courier New"/>
          <w:b/>
          <w:sz w:val="24"/>
          <w:szCs w:val="24"/>
          <w:lang w:eastAsia="bg-BG"/>
        </w:rPr>
        <w:t xml:space="preserve"> </w:t>
      </w:r>
      <w:r w:rsidR="001239CE" w:rsidRPr="001239CE">
        <w:rPr>
          <w:rFonts w:ascii="Courier New" w:eastAsia="Times New Roman" w:hAnsi="Courier New" w:cs="Courier New"/>
          <w:sz w:val="24"/>
          <w:szCs w:val="24"/>
          <w:lang w:eastAsia="bg-BG"/>
        </w:rPr>
        <w:t>15273</w:t>
      </w:r>
      <w:r w:rsidRPr="001239CE">
        <w:rPr>
          <w:rFonts w:ascii="Courier New" w:eastAsia="Times New Roman" w:hAnsi="Courier New" w:cs="Courier New"/>
          <w:sz w:val="24"/>
          <w:szCs w:val="24"/>
          <w:lang w:eastAsia="bg-BG"/>
        </w:rPr>
        <w:t>,00 лв.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>Период за концесионното плащане – 25 години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bg-BG"/>
        </w:rPr>
      </w:pP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bg-BG"/>
        </w:rPr>
      </w:pPr>
      <w:r w:rsidRPr="00ED64DE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bg-BG"/>
        </w:rPr>
        <w:t>Определяне на годишните равномерни вноски на концесионното плащане за 25 годишен период: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Базата на която е определен размера на годишните вноски за изплащане на концесионното възнаграждение, е, че те са еквивалент на дългосрочен, постоянен по стойност, ежегоден доход, който собственикът, в случая Общината иска да получава в продължение на 25 г. 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Този дългосрочен постоянен доход на собственика е определен чрез въвеждане на т.нар."Т графика" за изчисляване на съотношението </w:t>
      </w:r>
      <w:r w:rsidRPr="00ED64DE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bg-BG"/>
        </w:rPr>
        <w:t>"ВРЕМЕ - ПАРИ"</w:t>
      </w: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>, която е от вида: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u w:val="single"/>
          <w:lang w:eastAsia="bg-BG"/>
        </w:rPr>
      </w:pP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</w:t>
      </w: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ab/>
      </w:r>
      <w:r w:rsidRPr="00ED64DE">
        <w:rPr>
          <w:rFonts w:ascii="Courier New" w:eastAsia="Times New Roman" w:hAnsi="Courier New" w:cs="Courier New"/>
          <w:sz w:val="24"/>
          <w:szCs w:val="24"/>
          <w:u w:val="single"/>
          <w:lang w:eastAsia="bg-BG"/>
        </w:rPr>
        <w:t>Време / Пари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u w:val="single"/>
          <w:lang w:eastAsia="bg-BG"/>
        </w:rPr>
      </w:pP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</w:t>
      </w: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ab/>
        <w:t>0 - Първоначална инвестиция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</w:t>
      </w: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ab/>
        <w:t>1 - паричен поток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</w:t>
      </w: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ab/>
        <w:t>2 - паричен поток   на периодични  равномерни годишни вноски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>n - паричен поток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>Приложената техника дава възможност да се определи един от            инвестиционните индикатори, при известни стойности поне на някой от            останалите три. В случая се търси неизвестната величина на равномерните годишни вноски - РМТ.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A71CA" w:rsidRPr="005A71CA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bg-BG"/>
        </w:rPr>
        <w:t>И</w:t>
      </w:r>
      <w:r w:rsidRPr="005A71CA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u-RU" w:eastAsia="bg-BG"/>
        </w:rPr>
        <w:t>ЗВЕСТНИ ВЕЛИЧИНИ СА: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1. Първоначалната инвестиция или настоящата стойност на ЧПП -  концесионното възнаграждение - </w:t>
      </w:r>
      <w:proofErr w:type="spellStart"/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>Рv</w:t>
      </w:r>
      <w:proofErr w:type="spellEnd"/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2. Срок на концесията : 25 г. 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3. Период за равномерно изплащане: 25 г. 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  4. Средногодишен основен лихвен процент = DF = </w:t>
      </w:r>
      <w:r w:rsidR="00ED64DE">
        <w:rPr>
          <w:rFonts w:ascii="Courier New" w:eastAsia="Times New Roman" w:hAnsi="Courier New" w:cs="Courier New"/>
          <w:sz w:val="24"/>
          <w:szCs w:val="24"/>
          <w:lang w:eastAsia="bg-BG"/>
        </w:rPr>
        <w:t>4</w:t>
      </w: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%.</w:t>
      </w:r>
    </w:p>
    <w:p w:rsidR="005A71CA" w:rsidRPr="00ED64DE" w:rsidRDefault="005A71CA" w:rsidP="005A71C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  5. </w:t>
      </w:r>
      <w:proofErr w:type="spellStart"/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>Анюитетния</w:t>
      </w:r>
      <w:proofErr w:type="spellEnd"/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фактор/А/ :</w:t>
      </w:r>
    </w:p>
    <w:p w:rsidR="005A71CA" w:rsidRPr="00ED64DE" w:rsidRDefault="005A71CA" w:rsidP="005A71CA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ED64DE">
        <w:rPr>
          <w:rFonts w:ascii="Courier New" w:eastAsia="Times New Roman" w:hAnsi="Courier New" w:cs="Courier New"/>
          <w:sz w:val="24"/>
          <w:szCs w:val="24"/>
          <w:lang w:eastAsia="bg-BG"/>
        </w:rPr>
        <w:t>за 25 години: 6,4641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Годишна вноска на концесионното възнаграждение за 25 год.: 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         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ab/>
      </w:r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РМТ = </w:t>
      </w:r>
      <w:proofErr w:type="spellStart"/>
      <w:proofErr w:type="gramStart"/>
      <w:r w:rsidRPr="005A71CA">
        <w:rPr>
          <w:rFonts w:ascii="Courier New" w:eastAsia="Times New Roman" w:hAnsi="Courier New" w:cs="Courier New"/>
          <w:sz w:val="24"/>
          <w:szCs w:val="24"/>
          <w:lang w:val="en-US" w:eastAsia="bg-BG"/>
        </w:rPr>
        <w:t>Pv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:</w:t>
      </w:r>
      <w:proofErr w:type="gramEnd"/>
      <w:r w:rsidRPr="005A71CA">
        <w:rPr>
          <w:rFonts w:ascii="Courier New" w:eastAsia="Times New Roman" w:hAnsi="Courier New" w:cs="Courier New"/>
          <w:sz w:val="24"/>
          <w:szCs w:val="24"/>
          <w:lang w:val="ru-RU" w:eastAsia="bg-BG"/>
        </w:rPr>
        <w:t xml:space="preserve"> А 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ab/>
      </w:r>
    </w:p>
    <w:tbl>
      <w:tblPr>
        <w:tblW w:w="1029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1005"/>
        <w:gridCol w:w="1005"/>
        <w:gridCol w:w="1005"/>
        <w:gridCol w:w="1005"/>
        <w:gridCol w:w="1005"/>
        <w:gridCol w:w="1005"/>
      </w:tblGrid>
      <w:tr w:rsidR="005A71CA" w:rsidRPr="005A71CA" w:rsidTr="00CD1AA7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Години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от 6 до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25 год.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Водна площ на язовира - дка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CD1AA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92</w:t>
            </w:r>
            <w:r w:rsidR="005A71CA"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,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960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Процент на </w:t>
            </w:r>
            <w:proofErr w:type="spellStart"/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използуване</w:t>
            </w:r>
            <w:proofErr w:type="spellEnd"/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на язовира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Приходна площ за целите на концесията – дка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CD1AA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55</w:t>
            </w:r>
            <w:r w:rsidR="005A71CA"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,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776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Приход за 1 дка - кг риба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Пазарна цена за 1 кг.риба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Производствени разходи - </w:t>
            </w:r>
            <w:proofErr w:type="spellStart"/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лв</w:t>
            </w:r>
            <w:proofErr w:type="spellEnd"/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/дка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CD1AA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Разходи за персонал и външни услуги - </w:t>
            </w:r>
            <w:proofErr w:type="spellStart"/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лв</w:t>
            </w:r>
            <w:proofErr w:type="spellEnd"/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/дка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Други разходи - </w:t>
            </w:r>
            <w:proofErr w:type="spellStart"/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лв</w:t>
            </w:r>
            <w:proofErr w:type="spellEnd"/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/дка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Разходи за 1 дка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Ръст на разходи 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Ръст на приходи 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Приходи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CD1AA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20079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CD1AA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20884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CD1AA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21718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CD1AA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22586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CD1AA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23490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Разходи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CD1AA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16175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CD1AA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16741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CD1AA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17327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CD1AA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17934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CD1AA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18561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CD1AA7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1AA7" w:rsidRPr="005A71CA" w:rsidRDefault="00CD1AA7" w:rsidP="00CD1A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Разлика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1AA7" w:rsidRPr="00CD1AA7" w:rsidRDefault="00CD1AA7" w:rsidP="00CD1A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CD1AA7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3904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1AA7" w:rsidRPr="00CD1AA7" w:rsidRDefault="00CD1AA7" w:rsidP="00CD1A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CD1AA7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4143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1AA7" w:rsidRPr="00CD1AA7" w:rsidRDefault="00CD1AA7" w:rsidP="00CD1A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CD1AA7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4391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1AA7" w:rsidRPr="00CD1AA7" w:rsidRDefault="00CD1AA7" w:rsidP="00CD1A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CD1AA7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4652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1AA7" w:rsidRPr="00CD1AA7" w:rsidRDefault="00CD1AA7" w:rsidP="00CD1A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CD1AA7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4929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1AA7" w:rsidRPr="005A71CA" w:rsidRDefault="00CD1AA7" w:rsidP="00CD1A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Неотложни инвестиции за ремонт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F32BC7" w:rsidRPr="005A71CA" w:rsidTr="00FB244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2BC7" w:rsidRPr="005A71CA" w:rsidRDefault="00F32BC7" w:rsidP="00F32B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Брутна печалба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2BC7" w:rsidRPr="00CD1AA7" w:rsidRDefault="00F32BC7" w:rsidP="00F32BC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CD1AA7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3904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2BC7" w:rsidRPr="00CD1AA7" w:rsidRDefault="00F32BC7" w:rsidP="00F32BC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CD1AA7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4143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2BC7" w:rsidRPr="00CD1AA7" w:rsidRDefault="00F32BC7" w:rsidP="00F32BC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CD1AA7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4391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2BC7" w:rsidRPr="00CD1AA7" w:rsidRDefault="00F32BC7" w:rsidP="00F32BC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CD1AA7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4652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2BC7" w:rsidRPr="00CD1AA7" w:rsidRDefault="00F32BC7" w:rsidP="00F32BC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CD1AA7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4929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2BC7" w:rsidRPr="005A71CA" w:rsidRDefault="00F32BC7" w:rsidP="00F32B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Данък 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F32BC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Данък лева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32BC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32BC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32BC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32BC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32BC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493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F32BC7" w:rsidRPr="005A71CA" w:rsidTr="00F32BC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2BC7" w:rsidRPr="005A71CA" w:rsidRDefault="00F32BC7" w:rsidP="00F32B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Нетна печалба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F32BC7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3514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F32BC7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3729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F32BC7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3952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F32BC7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BC7" w:rsidRPr="00F32BC7" w:rsidRDefault="00F32BC7" w:rsidP="00F32BC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F32BC7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4436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2BC7" w:rsidRPr="005A71CA" w:rsidRDefault="00F32BC7" w:rsidP="00F32B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F32BC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Концесионно плащане %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Концесионно плащане лв.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32BC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1757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32BC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1865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32BC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1976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32BC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2094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32BC7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2218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CF2322" w:rsidRDefault="00CF2322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val="en-US" w:eastAsia="bg-BG"/>
              </w:rPr>
              <w:t>17573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Дисконтов фактор 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32BC7" w:rsidP="005A71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Дисконтов фактор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0,8696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0,7561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0,6575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0,5718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0,4972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0,4972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Очаквани чисти парични приходи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67A7F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1528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67A7F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1410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67A7F" w:rsidP="00F67A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67A7F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1198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67A7F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1102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67A7F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8737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Сегашна стойност на </w:t>
            </w:r>
            <w:proofErr w:type="spellStart"/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концесионото</w:t>
            </w:r>
            <w:proofErr w:type="spellEnd"/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67A7F" w:rsidP="00F67A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15273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proofErr w:type="spellStart"/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Анюитетен</w:t>
            </w:r>
            <w:proofErr w:type="spellEnd"/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фактор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6,4641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lastRenderedPageBreak/>
              <w:t>Годишна концесионна вноска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1</w:t>
            </w:r>
            <w:r w:rsidR="00F32BC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9</w:t>
            </w:r>
            <w:r w:rsidRPr="005A71C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Месечна концесионна вноска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67A7F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  <w:tr w:rsidR="005A71CA" w:rsidRPr="005A71CA" w:rsidTr="00CD1AA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Вноска за 1 дка на година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F67A7F" w:rsidP="005A71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71CA" w:rsidRPr="005A71CA" w:rsidRDefault="005A71CA" w:rsidP="005A71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A71C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</w:tr>
    </w:tbl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bg-BG"/>
        </w:rPr>
      </w:pP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</w:pP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FF0000"/>
          <w:sz w:val="24"/>
          <w:szCs w:val="24"/>
          <w:u w:val="single"/>
          <w:lang w:eastAsia="bg-BG"/>
        </w:rPr>
      </w:pPr>
      <w:r w:rsidRPr="005A71C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bg-BG"/>
        </w:rPr>
        <w:t xml:space="preserve"> ПАЗАРНАТА СТОЙНОСТ НА ГОДИШНОТО КОНЦЕСИОННО ПЛАЩАНЕ Е: </w:t>
      </w:r>
      <w:r w:rsidRPr="005A71CA">
        <w:rPr>
          <w:rFonts w:ascii="Courier New" w:eastAsia="Times New Roman" w:hAnsi="Courier New" w:cs="Courier New"/>
          <w:b/>
          <w:bCs/>
          <w:color w:val="FF0000"/>
          <w:sz w:val="24"/>
          <w:szCs w:val="24"/>
          <w:u w:val="single"/>
          <w:lang w:eastAsia="bg-BG"/>
        </w:rPr>
        <w:t xml:space="preserve"> </w:t>
      </w:r>
      <w:r w:rsidRPr="005A71C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bg-BG"/>
        </w:rPr>
        <w:t>1</w:t>
      </w:r>
      <w:r w:rsidR="00F67A7F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bg-BG"/>
        </w:rPr>
        <w:t>9</w:t>
      </w:r>
      <w:r w:rsidRPr="005A71C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bg-BG"/>
        </w:rPr>
        <w:t>00,00 ЛВ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u w:val="single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u w:val="single"/>
          <w:lang w:eastAsia="bg-BG"/>
        </w:rPr>
        <w:t xml:space="preserve">/Хиляда и </w:t>
      </w:r>
      <w:r w:rsidR="00F67A7F">
        <w:rPr>
          <w:rFonts w:ascii="Courier New" w:eastAsia="Times New Roman" w:hAnsi="Courier New" w:cs="Courier New"/>
          <w:sz w:val="24"/>
          <w:szCs w:val="24"/>
          <w:u w:val="single"/>
          <w:lang w:eastAsia="bg-BG"/>
        </w:rPr>
        <w:t>деветстотин</w:t>
      </w:r>
      <w:r w:rsidRPr="005A71CA">
        <w:rPr>
          <w:rFonts w:ascii="Courier New" w:eastAsia="Times New Roman" w:hAnsi="Courier New" w:cs="Courier New"/>
          <w:sz w:val="24"/>
          <w:szCs w:val="24"/>
          <w:u w:val="single"/>
          <w:lang w:eastAsia="bg-BG"/>
        </w:rPr>
        <w:t xml:space="preserve"> лева/</w:t>
      </w:r>
    </w:p>
    <w:p w:rsidR="005A71CA" w:rsidRPr="005A71CA" w:rsidRDefault="005A71CA" w:rsidP="00217E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  <w:tab/>
        <w:t xml:space="preserve"> </w:t>
      </w:r>
    </w:p>
    <w:p w:rsidR="005A71CA" w:rsidRPr="005A71CA" w:rsidRDefault="005A71CA" w:rsidP="00F67A7F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t>6. Обосноваване на предложение за срок на концесията, включително като се отчита необходимият период за възстановяване на вложените инвестиции.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Съгласно заданието на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концедента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, не се предвиждат нови инвестиции за строителство съпътстващо експлоатацията на язовира. През периода на концесията всички инвестиционни дейности да се съгласуват с община Дряново и се извършват в съответствие с действащата нормативна уредба.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Язовирът е построен, експлоатира се вече </w:t>
      </w:r>
      <w:r w:rsidR="00F67A7F">
        <w:rPr>
          <w:rFonts w:ascii="Courier New" w:eastAsia="Times New Roman" w:hAnsi="Courier New" w:cs="Courier New"/>
          <w:sz w:val="24"/>
          <w:szCs w:val="24"/>
          <w:lang w:eastAsia="bg-BG"/>
        </w:rPr>
        <w:t>5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8 г., към деня на изготвяне на анализите няма предвидена инвестиционна програма и следователно не е необходимо да се обосновава срока на концесията. 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</w:p>
    <w:p w:rsidR="005A71CA" w:rsidRPr="005A71CA" w:rsidRDefault="005A71CA" w:rsidP="00F67A7F">
      <w:pPr>
        <w:spacing w:before="100" w:beforeAutospacing="1" w:after="100" w:afterAutospacing="1" w:line="240" w:lineRule="auto"/>
        <w:ind w:firstLine="720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b/>
          <w:i/>
          <w:sz w:val="24"/>
          <w:szCs w:val="24"/>
          <w:lang w:eastAsia="bg-BG"/>
        </w:rPr>
        <w:t>7. Предложения за вида, размера и начина на плащане на гаранциите и другите обезпечения за изпълнение на задълженията по концесионния договор.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Видно от анализа на ефективността на концесията и с оглед характера на дейността, която концесионерът ще осъществява в обекта на концесия, както и с очакваните приходи и обществени ползи от тази дейност, интересите на </w:t>
      </w:r>
      <w:proofErr w:type="spellStart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Концедента</w:t>
      </w:r>
      <w:proofErr w:type="spellEnd"/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и на Концесионера, община Дряново е определила срок на концесията в заданието 25 години.</w:t>
      </w:r>
    </w:p>
    <w:p w:rsidR="005A71CA" w:rsidRPr="005A71CA" w:rsidRDefault="005A71CA" w:rsidP="005A71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ab/>
        <w:t xml:space="preserve">Предвид дейността, която ще се осъществява в обекта на концесия, за изпълнение на задълженията по концесионния договор следва да се предвидят следните видове гаранции: </w:t>
      </w:r>
    </w:p>
    <w:p w:rsidR="005A71CA" w:rsidRPr="005A71CA" w:rsidRDefault="005A71CA" w:rsidP="005A71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  <w:t xml:space="preserve">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1. Гаранции за изпълнение на задълженията по концесионния договор и/или други обезпечения -</w:t>
      </w:r>
      <w:r w:rsidRPr="005A71CA"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  <w:t xml:space="preserve">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парична вноска по сметката  на Община -Дряново в размер на 50 % от годишното концесионно плащане или във вид на безусловна и неотменяема банкова гаранция, представена до 31 януари</w:t>
      </w:r>
      <w:r w:rsidRPr="005A71CA"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  <w:t xml:space="preserve"> </w:t>
      </w: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>на обезпечената календарна година. Гаранцията за годината на подписване на концесионния договор се представя в седемдневен срок от подписване на концесионния договор. Гаранцията за изпълнение за всяка следваща календарна година от срока по концесионния договор се внася до 31 януари на текущата календарна година.</w:t>
      </w:r>
    </w:p>
    <w:p w:rsidR="005A71CA" w:rsidRPr="005A71CA" w:rsidRDefault="005A71CA" w:rsidP="00F67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4"/>
          <w:szCs w:val="24"/>
          <w:lang w:eastAsia="bg-BG"/>
        </w:rPr>
      </w:pPr>
      <w:r w:rsidRPr="005A71CA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            </w:t>
      </w:r>
    </w:p>
    <w:p w:rsidR="006942F4" w:rsidRPr="005A71CA" w:rsidRDefault="006942F4">
      <w:pPr>
        <w:rPr>
          <w:rFonts w:ascii="Courier New" w:hAnsi="Courier New" w:cs="Courier New"/>
          <w:sz w:val="24"/>
          <w:szCs w:val="24"/>
        </w:rPr>
      </w:pPr>
    </w:p>
    <w:sectPr w:rsidR="006942F4" w:rsidRPr="005A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6C8D7E"/>
    <w:lvl w:ilvl="0">
      <w:numFmt w:val="decimal"/>
      <w:lvlText w:val="*"/>
      <w:lvlJc w:val="left"/>
    </w:lvl>
  </w:abstractNum>
  <w:abstractNum w:abstractNumId="1" w15:restartNumberingAfterBreak="0">
    <w:nsid w:val="07DB04D2"/>
    <w:multiLevelType w:val="hybridMultilevel"/>
    <w:tmpl w:val="6B44738A"/>
    <w:lvl w:ilvl="0" w:tplc="8A4880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D1421E"/>
    <w:multiLevelType w:val="hybridMultilevel"/>
    <w:tmpl w:val="844259A6"/>
    <w:lvl w:ilvl="0" w:tplc="2F645C42">
      <w:start w:val="11"/>
      <w:numFmt w:val="bullet"/>
      <w:lvlText w:val="-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A22149"/>
    <w:multiLevelType w:val="hybridMultilevel"/>
    <w:tmpl w:val="6D4685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E03268"/>
    <w:multiLevelType w:val="hybridMultilevel"/>
    <w:tmpl w:val="0CDE1FFE"/>
    <w:lvl w:ilvl="0" w:tplc="234435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E60954"/>
    <w:multiLevelType w:val="singleLevel"/>
    <w:tmpl w:val="C7407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 w15:restartNumberingAfterBreak="0">
    <w:nsid w:val="333C3DF9"/>
    <w:multiLevelType w:val="hybridMultilevel"/>
    <w:tmpl w:val="774E6048"/>
    <w:lvl w:ilvl="0" w:tplc="B83C5968">
      <w:start w:val="3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46086BC0"/>
    <w:multiLevelType w:val="hybridMultilevel"/>
    <w:tmpl w:val="E44E15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A1E95"/>
    <w:multiLevelType w:val="hybridMultilevel"/>
    <w:tmpl w:val="EE6C3A72"/>
    <w:lvl w:ilvl="0" w:tplc="0402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531E77D9"/>
    <w:multiLevelType w:val="hybridMultilevel"/>
    <w:tmpl w:val="012686F6"/>
    <w:lvl w:ilvl="0" w:tplc="1E1EC776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1D48D68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53FE0D77"/>
    <w:multiLevelType w:val="hybridMultilevel"/>
    <w:tmpl w:val="70303C00"/>
    <w:lvl w:ilvl="0" w:tplc="4E4AD70E">
      <w:start w:val="7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3154F2E"/>
    <w:multiLevelType w:val="hybridMultilevel"/>
    <w:tmpl w:val="DF787EC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F645C42">
      <w:start w:val="11"/>
      <w:numFmt w:val="bullet"/>
      <w:lvlText w:val="-"/>
      <w:legacy w:legacy="1" w:legacySpace="36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20" w:hanging="360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3">
    <w:abstractNumId w:val="11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Courier New" w:hAnsi="Courier New" w:cs="Courier New" w:hint="default"/>
        </w:rPr>
      </w:lvl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CA"/>
    <w:rsid w:val="001045BE"/>
    <w:rsid w:val="001239CE"/>
    <w:rsid w:val="00184659"/>
    <w:rsid w:val="00217E28"/>
    <w:rsid w:val="003037A6"/>
    <w:rsid w:val="003F7D8D"/>
    <w:rsid w:val="004C0452"/>
    <w:rsid w:val="00576C0E"/>
    <w:rsid w:val="005A71CA"/>
    <w:rsid w:val="006942F4"/>
    <w:rsid w:val="006E3A29"/>
    <w:rsid w:val="007234B9"/>
    <w:rsid w:val="007B5CC5"/>
    <w:rsid w:val="008E01AB"/>
    <w:rsid w:val="00B56E90"/>
    <w:rsid w:val="00C018A9"/>
    <w:rsid w:val="00CD1AA7"/>
    <w:rsid w:val="00CF0BA4"/>
    <w:rsid w:val="00CF2322"/>
    <w:rsid w:val="00DB2E15"/>
    <w:rsid w:val="00E13D73"/>
    <w:rsid w:val="00ED64DE"/>
    <w:rsid w:val="00F32BC7"/>
    <w:rsid w:val="00F6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C5E6C6-5034-4BB4-8704-58F5BA84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71CA"/>
    <w:pPr>
      <w:keepNext/>
      <w:widowControl w:val="0"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5A71CA"/>
    <w:pPr>
      <w:keepNext/>
      <w:widowControl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5A71CA"/>
    <w:pPr>
      <w:keepNext/>
      <w:widowControl w:val="0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5A71C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5A71CA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5A71CA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A71C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5A71CA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9">
    <w:name w:val="heading 9"/>
    <w:basedOn w:val="a"/>
    <w:next w:val="a"/>
    <w:link w:val="90"/>
    <w:qFormat/>
    <w:rsid w:val="005A71CA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A71CA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лавие 2 Знак"/>
    <w:basedOn w:val="a0"/>
    <w:link w:val="2"/>
    <w:rsid w:val="005A71CA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лавие 3 Знак"/>
    <w:basedOn w:val="a0"/>
    <w:link w:val="3"/>
    <w:rsid w:val="005A71CA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лавие 4 Знак"/>
    <w:basedOn w:val="a0"/>
    <w:link w:val="4"/>
    <w:rsid w:val="005A7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лавие 5 Знак"/>
    <w:basedOn w:val="a0"/>
    <w:link w:val="5"/>
    <w:rsid w:val="005A71C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лавие 6 Знак"/>
    <w:basedOn w:val="a0"/>
    <w:link w:val="6"/>
    <w:rsid w:val="005A7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лавие 7 Знак"/>
    <w:basedOn w:val="a0"/>
    <w:link w:val="7"/>
    <w:rsid w:val="005A71CA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лавие 8 Знак"/>
    <w:basedOn w:val="a0"/>
    <w:link w:val="8"/>
    <w:rsid w:val="005A71CA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90">
    <w:name w:val="Заглавие 9 Знак"/>
    <w:basedOn w:val="a0"/>
    <w:link w:val="9"/>
    <w:rsid w:val="005A71CA"/>
    <w:rPr>
      <w:rFonts w:ascii="Times New Roman" w:eastAsia="Times New Roman" w:hAnsi="Times New Roman" w:cs="Times New Roman"/>
      <w:sz w:val="28"/>
      <w:szCs w:val="20"/>
      <w:lang w:eastAsia="bg-BG"/>
    </w:rPr>
  </w:style>
  <w:style w:type="numbering" w:customStyle="1" w:styleId="11">
    <w:name w:val="Без списък1"/>
    <w:next w:val="a2"/>
    <w:semiHidden/>
    <w:rsid w:val="005A71CA"/>
  </w:style>
  <w:style w:type="paragraph" w:styleId="21">
    <w:name w:val="Body Text 2"/>
    <w:basedOn w:val="a"/>
    <w:link w:val="22"/>
    <w:rsid w:val="005A71C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bg-BG"/>
    </w:rPr>
  </w:style>
  <w:style w:type="character" w:customStyle="1" w:styleId="22">
    <w:name w:val="Основен текст 2 Знак"/>
    <w:basedOn w:val="a0"/>
    <w:link w:val="21"/>
    <w:rsid w:val="005A71CA"/>
    <w:rPr>
      <w:rFonts w:ascii="Times New Roman" w:eastAsia="Times New Roman" w:hAnsi="Times New Roman" w:cs="Times New Roman"/>
      <w:b/>
      <w:bCs/>
      <w:sz w:val="24"/>
      <w:szCs w:val="24"/>
      <w:lang w:val="en-US" w:eastAsia="bg-BG"/>
    </w:rPr>
  </w:style>
  <w:style w:type="paragraph" w:styleId="a3">
    <w:name w:val="Plain Text"/>
    <w:aliases w:val=" Знак, Знак Знак, Знак Знак Знак"/>
    <w:basedOn w:val="a"/>
    <w:link w:val="a4"/>
    <w:rsid w:val="005A71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en-US" w:eastAsia="bg-BG"/>
    </w:rPr>
  </w:style>
  <w:style w:type="character" w:customStyle="1" w:styleId="a4">
    <w:name w:val="Обикновен текст Знак"/>
    <w:aliases w:val=" Знак Знак1, Знак Знак Знак1, Знак Знак Знак Знак"/>
    <w:basedOn w:val="a0"/>
    <w:link w:val="a3"/>
    <w:rsid w:val="005A71CA"/>
    <w:rPr>
      <w:rFonts w:ascii="Courier New" w:eastAsia="Times New Roman" w:hAnsi="Courier New" w:cs="Courier New"/>
      <w:sz w:val="20"/>
      <w:szCs w:val="20"/>
      <w:lang w:val="en-US" w:eastAsia="bg-BG"/>
    </w:rPr>
  </w:style>
  <w:style w:type="paragraph" w:styleId="a5">
    <w:name w:val="header"/>
    <w:basedOn w:val="a"/>
    <w:link w:val="a6"/>
    <w:rsid w:val="005A71C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character" w:customStyle="1" w:styleId="a6">
    <w:name w:val="Горен колонтитул Знак"/>
    <w:basedOn w:val="a0"/>
    <w:link w:val="a5"/>
    <w:rsid w:val="005A71CA"/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character" w:styleId="a7">
    <w:name w:val="page number"/>
    <w:basedOn w:val="a0"/>
    <w:rsid w:val="005A71CA"/>
  </w:style>
  <w:style w:type="paragraph" w:styleId="a8">
    <w:name w:val="footer"/>
    <w:basedOn w:val="a"/>
    <w:link w:val="a9"/>
    <w:rsid w:val="005A71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character" w:customStyle="1" w:styleId="a9">
    <w:name w:val="Долен колонтитул Знак"/>
    <w:basedOn w:val="a0"/>
    <w:link w:val="a8"/>
    <w:rsid w:val="005A71CA"/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paragraph" w:styleId="aa">
    <w:name w:val="Normal (Web)"/>
    <w:basedOn w:val="a"/>
    <w:rsid w:val="005A71CA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Style">
    <w:name w:val="Style"/>
    <w:rsid w:val="005A71C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Indent 3"/>
    <w:basedOn w:val="a"/>
    <w:link w:val="32"/>
    <w:rsid w:val="005A71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2">
    <w:name w:val="Основен текст с отстъп 3 Знак"/>
    <w:basedOn w:val="a0"/>
    <w:link w:val="31"/>
    <w:rsid w:val="005A71C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b">
    <w:name w:val="Body Text"/>
    <w:basedOn w:val="a"/>
    <w:link w:val="ac"/>
    <w:rsid w:val="005A71C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c">
    <w:name w:val="Основен текст Знак"/>
    <w:basedOn w:val="a0"/>
    <w:link w:val="ab"/>
    <w:rsid w:val="005A71C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Body Text Indent"/>
    <w:basedOn w:val="a"/>
    <w:link w:val="ae"/>
    <w:rsid w:val="005A71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e">
    <w:name w:val="Основен текст с отстъп Знак"/>
    <w:basedOn w:val="a0"/>
    <w:link w:val="ad"/>
    <w:rsid w:val="005A71C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ins1">
    <w:name w:val="ins1"/>
    <w:basedOn w:val="a0"/>
    <w:rsid w:val="005A71CA"/>
  </w:style>
  <w:style w:type="paragraph" w:styleId="23">
    <w:name w:val="Body Text Indent 2"/>
    <w:basedOn w:val="a"/>
    <w:link w:val="24"/>
    <w:rsid w:val="005A71C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4">
    <w:name w:val="Основен текст с отстъп 2 Знак"/>
    <w:basedOn w:val="a0"/>
    <w:link w:val="23"/>
    <w:rsid w:val="005A71C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pple-converted-space">
    <w:name w:val="apple-converted-space"/>
    <w:basedOn w:val="a0"/>
    <w:rsid w:val="005A71CA"/>
  </w:style>
  <w:style w:type="character" w:customStyle="1" w:styleId="samedocreference">
    <w:name w:val="samedocreference"/>
    <w:basedOn w:val="a0"/>
    <w:rsid w:val="005A71CA"/>
  </w:style>
  <w:style w:type="table" w:styleId="af">
    <w:name w:val="Table Grid"/>
    <w:basedOn w:val="a1"/>
    <w:rsid w:val="005A7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5A71CA"/>
    <w:rPr>
      <w:color w:val="0000FF"/>
      <w:u w:val="single"/>
    </w:rPr>
  </w:style>
  <w:style w:type="character" w:customStyle="1" w:styleId="newdocreference">
    <w:name w:val="newdocreference"/>
    <w:basedOn w:val="a0"/>
    <w:rsid w:val="005A71CA"/>
  </w:style>
  <w:style w:type="character" w:customStyle="1" w:styleId="CharChar">
    <w:name w:val="Знак Char Char"/>
    <w:basedOn w:val="a0"/>
    <w:rsid w:val="005A71CA"/>
    <w:rPr>
      <w:rFonts w:ascii="Courier New" w:hAnsi="Courier New"/>
      <w:lang w:val="en-US" w:eastAsia="bg-BG" w:bidi="ar-SA"/>
    </w:rPr>
  </w:style>
  <w:style w:type="paragraph" w:styleId="25">
    <w:name w:val="List 2"/>
    <w:basedOn w:val="a"/>
    <w:rsid w:val="005A71C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Char0">
    <w:name w:val="Знак Знак Char Char"/>
    <w:basedOn w:val="a0"/>
    <w:rsid w:val="005A71CA"/>
    <w:rPr>
      <w:rFonts w:ascii="Courier New" w:hAnsi="Courier New"/>
      <w:lang w:val="en-US" w:eastAsia="bg-BG" w:bidi="ar-SA"/>
    </w:rPr>
  </w:style>
  <w:style w:type="character" w:customStyle="1" w:styleId="CharChar1">
    <w:name w:val="Знак Знак Знак Char Char"/>
    <w:basedOn w:val="a0"/>
    <w:rsid w:val="005A71CA"/>
    <w:rPr>
      <w:rFonts w:ascii="Courier New" w:hAnsi="Courier New"/>
      <w:lang w:val="en-US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Потребител на Windows</cp:lastModifiedBy>
  <cp:revision>3</cp:revision>
  <dcterms:created xsi:type="dcterms:W3CDTF">2019-01-11T08:58:00Z</dcterms:created>
  <dcterms:modified xsi:type="dcterms:W3CDTF">2019-01-11T09:00:00Z</dcterms:modified>
</cp:coreProperties>
</file>